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bookmarkStart w:id="0" w:name="OLE_LINK3"/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4</w:t>
      </w:r>
      <w:bookmarkEnd w:id="0"/>
    </w:p>
    <w:p>
      <w:pPr>
        <w:pStyle w:val="Footer"/>
        <w:rPr>
          <w:rFonts w:hint="eastAsia"/>
        </w:rPr>
      </w:pPr>
    </w:p>
    <w:p>
      <w:pPr>
        <w:spacing w:before="312" w:beforeLines="100"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 xml:space="preserve">调研方案</w:t>
      </w:r>
    </w:p>
    <w:p>
      <w:pPr>
        <w:spacing w:before="312" w:beforeLines="100"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 xml:space="preserve">（建议稿）</w:t>
      </w:r>
    </w:p>
    <w:p>
      <w:pPr>
        <w:spacing w:before="312" w:beforeLines="100"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 xml:space="preserve">一、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调研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 xml:space="preserve">目的</w:t>
      </w:r>
    </w:p>
    <w:p>
      <w:pPr>
        <w:spacing w:after="0" w:line="640" w:lineRule="exact"/>
        <w:ind w:firstLine="640" w:firstLineChars="200"/>
        <w:jc w:val="both"/>
        <w:rPr>
          <w:rFonts w:ascii="仿宋_GB2312" w:eastAsia="仿宋_GB2312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为贯彻落实《中国科学院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湖南省人民政府战略合作协议》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，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推动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2025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年“中国科学院院所湖南行”科技成果转化对接活动取得更好实效，助力形成“成果转化应用+技术需求解决”的院省合作长效机制，特制定本次调研方案。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三、调研时间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（星期四）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8:00-12:00</w:t>
      </w:r>
    </w:p>
    <w:p>
      <w:pPr>
        <w:numPr>
          <w:ilvl w:val="0"/>
          <w:numId w:val="3"/>
        </w:numPr>
        <w:spacing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调研地点</w:t>
      </w:r>
    </w:p>
    <w:p>
      <w:pPr>
        <w:spacing w:after="0" w:line="660" w:lineRule="exact"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18"/>
        </w:rPr>
        <w:t xml:space="preserve">第一组：湘江新区（</w:t>
      </w: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生物医药与光电信息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）</w:t>
      </w:r>
    </w:p>
    <w:p>
      <w:pPr>
        <w:spacing w:after="0" w:line="660" w:lineRule="exact"/>
        <w:ind w:firstLine="640" w:firstLineChars="200"/>
        <w:jc w:val="both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18"/>
        </w:rPr>
        <w:t xml:space="preserve">第二组：长沙经开区（</w:t>
      </w: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文化科技融合与先进制造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）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四、参与人员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）中国科学院：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中国科学院有关部门领导，有关分院、院属机构领导和专家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）湖南省：省科技厅领导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相关处室负责人，市州科技局、国家级高新区相关负责人，技术需求企业负责人等。</w:t>
      </w:r>
    </w:p>
    <w:p>
      <w:pPr>
        <w:spacing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br w:type="page"/>
      </w:r>
    </w:p>
    <w:p>
      <w:pPr>
        <w:spacing w:after="0" w:line="660" w:lineRule="exact"/>
        <w:ind w:firstLine="640" w:firstLineChars="200"/>
        <w:jc w:val="both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五、调研路线</w:t>
      </w:r>
    </w:p>
    <w:tbl>
      <w:tblPr>
        <w:tblStyle w:val="TableGrid"/>
        <w:tblpPr w:leftFromText="180" w:rightFromText="180" w:vertAnchor="text" w:horzAnchor="page" w:tblpX="1537" w:tblpY="403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52"/>
        <w:gridCol w:w="6408"/>
      </w:tblGrid>
      <w:tr w:rsidTr="003C3B20">
        <w:trPr>
          <w:trHeight w:hRule="auto" w:val="0"/>
        </w:trPr>
        <w:tc>
          <w:tcPr>
            <w:tcW w:w="9060" w:type="dxa"/>
            <w:gridSpan w:val="2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第一组：湘江新区</w:t>
            </w:r>
          </w:p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（生物医药与光电信息）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08:00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湖南宾馆统一乘车出发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08:00-08:</w:t>
            </w:r>
            <w:r>
              <w:rPr>
                <w:rFonts w:eastAsia="仿宋_GB2312" w:hint="eastAsia"/>
                <w:sz w:val="32"/>
                <w:szCs w:val="32"/>
              </w:rPr>
              <w:t xml:space="preserve">45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圣湘生物科技股份有限公司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</w:t>
            </w:r>
            <w:r>
              <w:rPr>
                <w:rFonts w:eastAsia="仿宋_GB2312" w:hint="eastAsia"/>
                <w:sz w:val="32"/>
                <w:szCs w:val="32"/>
              </w:rPr>
              <w:t xml:space="preserve">45</w:t>
            </w:r>
            <w:r>
              <w:rPr>
                <w:rFonts w:eastAsia="仿宋_GB2312"/>
                <w:sz w:val="32"/>
                <w:szCs w:val="32"/>
              </w:rPr>
              <w:t xml:space="preserve">-09:</w:t>
            </w:r>
            <w:r>
              <w:rPr>
                <w:rFonts w:eastAsia="仿宋_GB2312" w:hint="eastAsia"/>
                <w:sz w:val="32"/>
                <w:szCs w:val="32"/>
              </w:rPr>
              <w:t xml:space="preserve">20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圣湘生物科技股份有限公司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09:</w:t>
            </w:r>
            <w:r>
              <w:rPr>
                <w:rFonts w:eastAsia="仿宋_GB2312" w:hint="eastAsia"/>
                <w:sz w:val="32"/>
                <w:szCs w:val="32"/>
              </w:rPr>
              <w:t xml:space="preserve">20</w:t>
            </w:r>
            <w:r>
              <w:rPr>
                <w:rFonts w:eastAsia="仿宋_GB2312"/>
                <w:sz w:val="32"/>
                <w:szCs w:val="32"/>
              </w:rPr>
              <w:t xml:space="preserve">-09:</w:t>
            </w:r>
            <w:r>
              <w:rPr>
                <w:rFonts w:eastAsia="仿宋_GB2312" w:hint="eastAsia"/>
                <w:sz w:val="32"/>
                <w:szCs w:val="32"/>
              </w:rPr>
              <w:t xml:space="preserve">30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三诺生物传感股份有限公司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09:</w:t>
            </w:r>
            <w:r>
              <w:rPr>
                <w:rFonts w:eastAsia="仿宋_GB2312" w:hint="eastAsia"/>
                <w:sz w:val="32"/>
                <w:szCs w:val="32"/>
              </w:rPr>
              <w:t xml:space="preserve">30</w:t>
            </w:r>
            <w:r>
              <w:rPr>
                <w:rFonts w:eastAsia="仿宋_GB2312"/>
                <w:sz w:val="32"/>
                <w:szCs w:val="32"/>
              </w:rPr>
              <w:t xml:space="preserve">-10:</w:t>
            </w:r>
            <w:r>
              <w:rPr>
                <w:rFonts w:eastAsia="仿宋_GB2312" w:hint="eastAsia"/>
                <w:sz w:val="32"/>
                <w:szCs w:val="32"/>
              </w:rPr>
              <w:t xml:space="preserve">05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圣三诺生物传感股份有限公司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10:</w:t>
            </w:r>
            <w:r>
              <w:rPr>
                <w:rFonts w:eastAsia="仿宋_GB2312" w:hint="eastAsia"/>
                <w:sz w:val="32"/>
                <w:szCs w:val="32"/>
              </w:rPr>
              <w:t xml:space="preserve">05</w:t>
            </w:r>
            <w:r>
              <w:rPr>
                <w:rFonts w:eastAsia="仿宋_GB2312"/>
                <w:sz w:val="32"/>
                <w:szCs w:val="32"/>
              </w:rPr>
              <w:t xml:space="preserve">-10:</w:t>
            </w:r>
            <w:r>
              <w:rPr>
                <w:rFonts w:eastAsia="仿宋_GB2312" w:hint="eastAsia"/>
                <w:sz w:val="32"/>
                <w:szCs w:val="32"/>
              </w:rPr>
              <w:t xml:space="preserve">15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湖南华曙高科技股份有限公司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10:</w:t>
            </w:r>
            <w:r>
              <w:rPr>
                <w:rFonts w:eastAsia="仿宋_GB2312" w:hint="eastAsia"/>
                <w:sz w:val="32"/>
                <w:szCs w:val="32"/>
              </w:rPr>
              <w:t xml:space="preserve">15</w:t>
            </w:r>
            <w:r>
              <w:rPr>
                <w:rFonts w:eastAsia="仿宋_GB2312"/>
                <w:sz w:val="32"/>
                <w:szCs w:val="32"/>
              </w:rPr>
              <w:t xml:space="preserve">-1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湖南华曙高科技股份有限公司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  <w:r>
              <w:rPr>
                <w:rFonts w:eastAsia="仿宋_GB2312"/>
                <w:sz w:val="32"/>
                <w:szCs w:val="32"/>
              </w:rPr>
              <w:t xml:space="preserve">-11:1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长沙麓邦光电科技有限公司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11:</w:t>
            </w:r>
            <w:r>
              <w:rPr>
                <w:rFonts w:eastAsia="仿宋_GB2312" w:hint="eastAsia"/>
                <w:sz w:val="32"/>
                <w:szCs w:val="32"/>
              </w:rPr>
              <w:t xml:space="preserve">10</w:t>
            </w:r>
            <w:r>
              <w:rPr>
                <w:rFonts w:eastAsia="仿宋_GB2312"/>
                <w:sz w:val="32"/>
                <w:szCs w:val="32"/>
              </w:rPr>
              <w:t xml:space="preserve">-11:</w:t>
            </w:r>
            <w:r>
              <w:rPr>
                <w:rFonts w:eastAsia="仿宋_GB2312" w:hint="eastAsia"/>
                <w:sz w:val="32"/>
                <w:szCs w:val="32"/>
              </w:rPr>
              <w:t xml:space="preserve">45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长沙麓邦光电科技有限公司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11:45-12:25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返回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湖南宾馆</w:t>
            </w:r>
          </w:p>
        </w:tc>
      </w:tr>
    </w:tbl>
    <w:p>
      <w:pPr>
        <w:pStyle w:val="Footer"/>
        <w:rPr>
          <w:rFonts w:hint="eastAsia"/>
        </w:rPr>
      </w:pPr>
      <w:r>
        <w:br w:type="page"/>
      </w:r>
    </w:p>
    <w:tbl>
      <w:tblPr>
        <w:tblStyle w:val="TableGrid"/>
        <w:tblpPr w:leftFromText="180" w:rightFromText="180" w:vertAnchor="text" w:horzAnchor="page" w:tblpX="1537" w:tblpY="403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52"/>
        <w:gridCol w:w="6408"/>
      </w:tblGrid>
      <w:tr w:rsidTr="003C3B20">
        <w:trPr>
          <w:trHeight w:hRule="auto" w:val="0"/>
        </w:trPr>
        <w:tc>
          <w:tcPr>
            <w:tcW w:w="9060" w:type="dxa"/>
            <w:gridSpan w:val="2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第二组：长沙经开区</w:t>
            </w:r>
          </w:p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（文化科技融合与先进制造）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08:00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湖南宾馆统一乘车出发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08:00-08:3</w:t>
            </w:r>
            <w:r>
              <w:rPr>
                <w:rFonts w:eastAsia="仿宋_GB2312" w:hint="eastAsia"/>
                <w:sz w:val="32"/>
                <w:szCs w:val="32"/>
              </w:rPr>
              <w:t xml:space="preserve">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马栏山视频文创产业园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08:</w:t>
            </w:r>
            <w:r>
              <w:rPr>
                <w:rFonts w:eastAsia="仿宋_GB2312" w:hint="eastAsia"/>
                <w:sz w:val="32"/>
                <w:szCs w:val="32"/>
              </w:rPr>
              <w:t xml:space="preserve">35</w:t>
            </w:r>
            <w:r>
              <w:rPr>
                <w:rFonts w:eastAsia="仿宋_GB2312"/>
                <w:sz w:val="32"/>
                <w:szCs w:val="32"/>
              </w:rPr>
              <w:t xml:space="preserve">-0</w:t>
            </w:r>
            <w:r>
              <w:rPr>
                <w:rFonts w:eastAsia="仿宋_GB2312" w:hint="eastAsia"/>
                <w:sz w:val="32"/>
                <w:szCs w:val="32"/>
              </w:rPr>
              <w:t xml:space="preserve">9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15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马栏山视频文创产业园展厅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09:</w:t>
            </w:r>
            <w:r>
              <w:rPr>
                <w:rFonts w:eastAsia="仿宋_GB2312" w:hint="eastAsia"/>
                <w:sz w:val="32"/>
                <w:szCs w:val="32"/>
              </w:rPr>
              <w:t xml:space="preserve">15</w:t>
            </w:r>
            <w:r>
              <w:rPr>
                <w:rFonts w:eastAsia="仿宋_GB2312"/>
                <w:sz w:val="32"/>
                <w:szCs w:val="32"/>
              </w:rPr>
              <w:t xml:space="preserve">-</w:t>
            </w:r>
            <w:r>
              <w:rPr>
                <w:rFonts w:eastAsia="仿宋_GB2312" w:hint="eastAsia"/>
                <w:sz w:val="32"/>
                <w:szCs w:val="32"/>
              </w:rPr>
              <w:t xml:space="preserve">09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中国铁建重工集团股份有限公司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09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  <w:r>
              <w:rPr>
                <w:rFonts w:eastAsia="仿宋_GB2312"/>
                <w:sz w:val="32"/>
                <w:szCs w:val="32"/>
              </w:rPr>
              <w:t xml:space="preserve">-1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35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中国铁建重工集团股份有限公司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35</w:t>
            </w:r>
            <w:r>
              <w:rPr>
                <w:rFonts w:eastAsia="仿宋_GB2312"/>
                <w:sz w:val="32"/>
                <w:szCs w:val="32"/>
              </w:rPr>
              <w:t xml:space="preserve">-1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前往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山河智能装备股份有限公司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</w:t>
            </w:r>
            <w:r>
              <w:rPr>
                <w:rFonts w:eastAsia="仿宋_GB2312" w:hint="eastAsia"/>
                <w:sz w:val="32"/>
                <w:szCs w:val="32"/>
              </w:rPr>
              <w:t xml:space="preserve">0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55</w:t>
            </w:r>
            <w:r>
              <w:rPr>
                <w:rFonts w:eastAsia="仿宋_GB2312"/>
                <w:sz w:val="32"/>
                <w:szCs w:val="32"/>
              </w:rPr>
              <w:t xml:space="preserve">-1</w:t>
            </w:r>
            <w:r>
              <w:rPr>
                <w:rFonts w:eastAsia="仿宋_GB2312" w:hint="eastAsia"/>
                <w:sz w:val="32"/>
                <w:szCs w:val="32"/>
              </w:rPr>
              <w:t xml:space="preserve">1</w:t>
            </w:r>
            <w:r>
              <w:rPr>
                <w:rFonts w:eastAsia="仿宋_GB2312"/>
                <w:sz w:val="32"/>
                <w:szCs w:val="32"/>
              </w:rPr>
              <w:t xml:space="preserve">:</w:t>
            </w:r>
            <w:r>
              <w:rPr>
                <w:rFonts w:eastAsia="仿宋_GB2312" w:hint="eastAsia"/>
                <w:sz w:val="32"/>
                <w:szCs w:val="32"/>
              </w:rPr>
              <w:t xml:space="preserve">35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调研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山河智能装备股份有限公司</w:t>
            </w:r>
          </w:p>
        </w:tc>
      </w:tr>
      <w:tr w:rsidTr="003C3B20">
        <w:trPr>
          <w:trHeight w:hRule="auto" w:val="0"/>
        </w:trPr>
        <w:tc>
          <w:tcPr>
            <w:tcW w:w="2652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11:35-12:20</w:t>
            </w:r>
          </w:p>
        </w:tc>
        <w:tc>
          <w:tcPr>
            <w:tcW w:w="6408" w:type="dxa"/>
            <w:vAlign w:val="center"/>
          </w:tcPr>
          <w:p>
            <w:pPr>
              <w:spacing w:after="0" w:line="6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返回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湖南宾馆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4"/>
      <w:numFmt w:val="chineseCounting"/>
      <w:suff w:val="nothing"/>
      <w:lvlText w:val="%1、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7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er"/>
    <w:qFormat/>
    <w:rsid w:val="00CF4AEF"/>
    <w:pPr>
      <w:widowControl w:val="0"/>
      <w:spacing w:after="160" w:line="27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标题1字符"/>
    <w:uiPriority w:val="9"/>
    <w:qFormat/>
    <w:rsid w:val="00CF4AEF"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CF4AEF"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CF4AEF"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CF4AEF"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CF4AEF"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CF4AEF"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CF4AEF"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CF4AEF"/>
    <w:pPr>
      <w:keepNext/>
      <w:keepLines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CF4AEF"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CF4AEF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CF4AEF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CF4AEF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CF4AEF"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CF4AEF"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CF4AEF"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CF4AEF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CF4AEF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CF4AEF"/>
    <w:rPr>
      <w:rFonts w:eastAsia="宋体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CF4AEF"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CF4AEF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CF4AEF"/>
    <w:pPr>
      <w:numPr>
        <w:ilvl w:val="1"/>
      </w:num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CF4AEF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C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CF4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EF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CF4AEF"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CF4A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CF4AEF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EF"/>
    <w:rPr>
      <w:b/>
      <w:bCs/>
      <w:smallCaps/>
      <w:color w:val="366091" w:themeColor="accent1" w:themeShade="BF"/>
      <w:spacing w:val="5"/>
    </w:rPr>
  </w:style>
  <w:style w:type="paragraph" w:styleId="Footer">
    <w:name w:val="Footer"/>
    <w:basedOn w:val="Normal"/>
    <w:next w:val="Index5"/>
    <w:link w:val="页脚字符"/>
    <w:uiPriority w:val="99"/>
    <w:unhideWhenUsed/>
    <w:qFormat/>
    <w:rsid w:val="00CF4A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sid w:val="00CF4AEF"/>
    <w:rPr>
      <w:sz w:val="18"/>
      <w:szCs w:val="18"/>
    </w:rPr>
  </w:style>
  <w:style w:type="table" w:styleId="TableGrid">
    <w:name w:val="Table Grid"/>
    <w:basedOn w:val="NormalTable"/>
    <w:uiPriority w:val="39"/>
    <w:qFormat/>
    <w:rsid w:val="00CF4AEF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5">
    <w:name w:val="Index 5"/>
    <w:basedOn w:val="Normal"/>
    <w:next w:val="Normal"/>
    <w:autoRedefine/>
    <w:uiPriority w:val="99"/>
    <w:semiHidden/>
    <w:unhideWhenUsed/>
    <w:rsid w:val="00CF4AEF"/>
    <w:pPr>
      <w:ind w:left="800" w:leftChars="800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124</Words>
  <Characters>711</Characters>
  <Application>Microsoft Office Word</Application>
  <DocSecurity>0</DocSecurity>
  <Lines>5</Lines>
  <Paragraphs>1</Paragraphs>
  <CharactersWithSpaces>834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liujing</cp:lastModifiedBy>
  <cp:revision>1</cp:revision>
  <dcterms:created xsi:type="dcterms:W3CDTF">2025-09-01T08:40:00Z</dcterms:created>
  <dcterms:modified xsi:type="dcterms:W3CDTF">2025-09-01T08:41:00Z</dcterms:modified>
</cp:coreProperties>
</file>