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hint="eastAsia"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eastAsia="仿宋_GB2312" w:hAnsi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附件</w:t>
      </w:r>
    </w:p>
    <w:p>
      <w:pPr>
        <w:pStyle w:val="BodyTex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62" w:afterLines="20" w:line="560" w:lineRule="exact"/>
        <w:ind w:right="105" w:firstLine="0" w:rightChars="50" w:firstLineChars="0"/>
        <w:jc w:val="center"/>
        <w:textAlignment w:val="auto"/>
        <w:rPr>
          <w:rFonts w:ascii="Times New Roman" w:eastAsia="仿宋_GB2312" w:hAnsi="Times New Roman" w:hint="eastAsia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小标宋_GBK" w:hAnsi="Times New Roman" w:cs="Times New Roman" w:hint="default"/>
          <w:b w:val="0"/>
          <w:bCs w:val="0"/>
          <w:spacing w:val="0"/>
          <w:sz w:val="44"/>
          <w:szCs w:val="44"/>
          <w:lang w:val="en-US" w:eastAsia="zh-CN"/>
        </w:rPr>
        <w:t xml:space="preserve">中国科学院</w:t>
      </w:r>
      <w:r>
        <w:rPr>
          <w:rFonts w:ascii="Times New Roman" w:eastAsia="方正小标宋_GBK" w:hAnsi="Times New Roman" w:cs="Times New Roman" w:hint="eastAsia"/>
          <w:b w:val="0"/>
          <w:bCs w:val="0"/>
          <w:spacing w:val="0"/>
          <w:sz w:val="44"/>
          <w:szCs w:val="44"/>
          <w:lang w:val="en-US" w:eastAsia="zh-CN"/>
        </w:rPr>
        <w:t xml:space="preserve">2026年度专业技术类</w:t>
      </w:r>
      <w:r>
        <w:rPr>
          <w:rFonts w:ascii="Times New Roman" w:eastAsia="方正小标宋_GBK" w:hAnsi="Times New Roman" w:cs="Times New Roman" w:hint="default"/>
          <w:b w:val="0"/>
          <w:bCs w:val="0"/>
          <w:spacing w:val="0"/>
          <w:sz w:val="44"/>
          <w:szCs w:val="44"/>
          <w:lang w:val="en-US" w:eastAsia="zh-CN"/>
        </w:rPr>
        <w:t xml:space="preserve">院级资助项目申报</w:t>
      </w:r>
      <w:r>
        <w:rPr>
          <w:rFonts w:ascii="Times New Roman" w:eastAsia="方正小标宋_GBK" w:hAnsi="Times New Roman" w:cs="Times New Roman" w:hint="eastAsia"/>
          <w:b w:val="0"/>
          <w:bCs w:val="0"/>
          <w:spacing w:val="0"/>
          <w:sz w:val="44"/>
          <w:szCs w:val="44"/>
          <w:lang w:val="en-US" w:eastAsia="zh-CN"/>
        </w:rPr>
        <w:t xml:space="preserve">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目前，全院专业技术人员培训分为四级体系，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即：所级培训项目（基础体系）、院级培育项目（培育体系）、精品培训项目（示范体系）和人社部高级研修项目（推广体系）。研究所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可结合实际申请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院级培育项目、精品培训项目和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人社部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高级研修项目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的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院级资助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eastAsia"/>
          <w:b/>
          <w:bCs/>
          <w:spacing w:val="0"/>
          <w:sz w:val="32"/>
          <w:szCs w:val="32"/>
          <w:lang w:val="en-US" w:eastAsia="zh-CN"/>
        </w:rPr>
        <w:t xml:space="preserve">一、</w:t>
      </w:r>
      <w:r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  <w:t xml:space="preserve">关于院级培育项目申报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院级培育项目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遴选自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所级培训项目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研究所年度培训计划中的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专业技术研修班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专项技术培训班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”和“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学术讲坛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均可申报院级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培育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项目资助。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（一）申报条件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专业技术研修班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是指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为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加强科研人员队伍建设，促进相关学科领域的发展，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助力科研人员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了解科学前沿新知识、新技术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等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举办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的培训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班。培训班至少已举办过1次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，培训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班时间不少于3天，参加人员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以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科研人员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为主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培训形式包括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主题报告、专题研讨、学术交流、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现场教学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等，培训内容以更新专业知识、拓展知识领域、提高科技创新能力为主。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专项技术培训班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是指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为加强新时代高技能人才队伍建设，使科技人员不断掌握技术领域的新技能、新方法，加强实验技术教学指导，提升其素质能力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提高科学实验技能和实验仪器的使用效能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等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举办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的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培训班。培训班至少已举办过1次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培训班时间不少于3天，参加人员以科技人员为主，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培训形式包括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专项技术培训、专题讲座、技术观摩、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现场教学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和实践技能交流等，鼓励各研究所联合施训，促进各类资源的协调与整合，实现培训资源的共享。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学术讲坛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是指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为加强与国内外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一流科研机构的合作和交流，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助力相关领域科研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人员跟踪国际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科学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前沿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动态，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围绕相关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学科领域已形成一定影响力的系列讲座品牌。学术讲坛应按年度制定交流计划，可连续集中举办、也可分期分批组织，总场次不限，交流形式不限，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单场讲座或报告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原则上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不少于2学时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（二）资助方式和管理要求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本年度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拟遴选10个专业技术研修班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、10个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专项技术培训班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，每个项目给予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5万元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经费资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32"/>
          <w:szCs w:val="32"/>
          <w:lang w:val="en-US" w:eastAsia="zh-CN"/>
        </w:rPr>
        <w:t xml:space="preserve">助，经费主要用于培训场地费、讲课费、伙食费、培训资料费及交通费等支出。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本年度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拟遴选20个学术讲坛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以专项技术支持的方式纳入全院“前沿课程”进行建设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，后续由院继续教育网负责对接入选项目。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（三）申报注意事项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申报院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级培育项目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的专业技术研修班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、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专项技术培训班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学术讲坛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，均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需在202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6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年培训计划申报系统中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进行填报，并按照对应的资助形式选择“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是否申请资助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”或“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是否申请专项技术支持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  <w:t xml:space="preserve">二、关于精品培训项目申报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精品培训项目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遴选自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院级培育项目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研究所曾举办过的“精品培训项目”或获得过院级资助的“专业技术研修班”“专项技术短期培训班”等，可申报院精品培训项目。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（一）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申报条件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相关培训项目应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面向院内单位开放，培训时间不少于4天（含报到和离开时间），参加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人员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不少于70人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至少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获得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1次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精品培训项目资助或2次及以上院级培育项目资助。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培训内容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要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有前瞻性、实用性和针对性，重点加强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基础研究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、关键核心技术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攻关等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相关领域科技人才的培训。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培训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课程要设置合理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，并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可在本领域内广泛共享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有特色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的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培训教材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有相对稳定的高水平师资队伍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，并在以往培训中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得到学员的广泛认可，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具有一定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的社会影响力。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（二）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资助方式和管理要求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本年度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拟遴选10个精品培训班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，每个项目给予10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万元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经费资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32"/>
          <w:szCs w:val="32"/>
          <w:lang w:val="en-US" w:eastAsia="zh-CN"/>
        </w:rPr>
        <w:t xml:space="preserve">助，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经费主要用于住宿费、伙食费、培训场地费、讲课费、培训资料费、交通费等支出。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三</w:t>
      </w: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）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申报注意事项</w:t>
      </w:r>
    </w:p>
    <w:p>
      <w:pPr>
        <w:widowControl/>
        <w:adjustRightInd/>
        <w:snapToGrid/>
        <w:spacing w:line="540" w:lineRule="exact"/>
        <w:ind w:firstLine="640" w:firstLineChars="200"/>
        <w:rPr>
          <w:rFonts w:hint="default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申报院级精品培训项目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资助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的培训计划需在202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6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年培训计划申报系统中“是否申请资助”一栏选择“是”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在“精品项目”一栏选择“是”，并在附件栏内上传往年举办的培训项目师资名单、课程设置清单、培训教材清单（不含PPT）、需求调研分析报告、效果评估总结以及宣传报道等相关材料。202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5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年已获院资助并组织实施完成的精品培训项目，如继续申请202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6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年院经费资助，只需提交培训方案及教学计划材料。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/>
          <w:bCs/>
          <w:spacing w:val="0"/>
          <w:sz w:val="32"/>
          <w:szCs w:val="32"/>
          <w:lang w:val="en-US" w:eastAsia="zh-CN"/>
        </w:rPr>
        <w:t xml:space="preserve">三、关于人社部高级研修项目申报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人社部高级研修项目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遴选自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精品培训项目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研究所曾举办过的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精品培训项目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或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“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人社部高级研修项目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”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，可申报人社部高级研修项目。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（一）申报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相关培训项目需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按照高水平、小规模、重特色的要求，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培训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时间不少于5天（含报到和离开时间），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参加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人数不少于50人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，三年内至少获得过1次精品项目资助或人社部高级研修项目资助。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为保证研修效果，原则上应线下办班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，如举办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线上线下相结合的班次，线上学员人数不超过总人数的50%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。参训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学员经考核合格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可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获得专业技术人才知识更新工程高级研修项目结业证书。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（二）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资助方式和管理要求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本年度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拟遴选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5个培训班纳入人社部高级研修项目的候选项目。候选项目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由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院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人事局统一报送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至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人社部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参与国家年度研修项目的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遴选，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相关项目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一旦获批不得撤销，须按人社部高级研修项目要求组织实施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，院将参照2026年度人社部高级研修项目资助标准给予经费支持，原则上不低于精品培训班资助标准；对于未入选的候选项目，将按照精品培训项目进行管理。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4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（三）</w:t>
      </w:r>
      <w:r>
        <w:rPr>
          <w:rFonts w:ascii="Times New Roman" w:eastAsia="楷体_GB2312" w:hAnsi="Times New Roman" w:cs="Times New Roman" w:hint="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 xml:space="preserve">申报注意事项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eastAsia="仿宋_GB2312" w:hAnsi="Times New Roman"/>
          <w:color w:val="000000"/>
          <w:spacing w:val="0"/>
          <w:sz w:val="24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申报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人社部高级研修项目（候选项目）资助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的培训计划需在202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6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年培训计划申报系统中“是否申请资助”一栏选择“是”</w:t>
      </w:r>
      <w:r>
        <w:rPr>
          <w:rFonts w:ascii="Times New Roman" w:eastAsia="仿宋_GB2312" w:hAnsi="Times New Roman" w:cs="Times New Roman" w:hint="eastAsia"/>
          <w:color w:val="000000"/>
          <w:spacing w:val="0"/>
          <w:kern w:val="0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pacing w:val="0"/>
          <w:kern w:val="0"/>
          <w:sz w:val="32"/>
          <w:szCs w:val="32"/>
          <w:lang w:val="en-US" w:eastAsia="zh-CN"/>
        </w:rPr>
        <w:t xml:space="preserve">在“是否精品”一栏选择“是”，并选择“同时申报人社部高研项目”。</w:t>
      </w:r>
    </w:p>
    <w:sectPr>
      <w:footerReference w:type="default" r:id="rId3"/>
      <w:pgSz w:w="11906" w:h="16838" w:orient="portrait"/>
      <w:pgMar w:top="1277" w:right="1757" w:bottom="1121" w:left="1757" w:header="851" w:footer="567" w:gutter="0"/>
      <w:pgBorders/>
      <w:cols w:num="1" w:space="720">
        <w:col w:w="8392.0" w:space="720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7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80"/>
  <w:bordersDoNotSurroundFooter w:val="0"/>
  <w:bordersDoNotSurroundHeader w:val="0"/>
  <w:trackRevisions/>
  <w:doNotTrackMoves/>
  <w:defaultTabStop w:val="420"/>
  <w:drawingGridHorizontalSpacing w:val="9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M2FkOWRiMjJiM2Q4MTU4ODQ0MDNlODg2OTEwZDA3YTQifQ=="/>
  </w:docVar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NormalTable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unhideWhenUsed/>
    <w:qFormat/>
    <w:pPr>
      <w:spacing w:after="120"/>
      <w:jc w:val="both"/>
    </w:pPr>
    <w:rPr>
      <w:lang w:val="en-US" w:eastAsia="zh-CN"/>
    </w:rPr>
  </w:style>
  <w:style w:type="paragraph" w:styleId="BalloonText">
    <w:name w:val="Balloon Text"/>
    <w:basedOn w:val="Normal"/>
    <w:link w:val="批注框文本字符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pacing w:val="0"/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pacing w:val="0"/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table" w:styleId="TableGrid">
    <w:name w:val="Table Grid"/>
    <w:basedOn w:val="NormalTable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1F22F5A2475B4EE7BCC4016FAD7C2BFC_13</vt:lpwstr>
  </property>
  <property fmtid="{D5CDD505-2E9C-101B-9397-08002B2CF9AE}" pid="4" name="KSOTemplateDocerSaveRecord">
    <vt:lpwstr>eyJoZGlkIjoiM2FkOWRiMjJiM2Q4MTU4ODQ0MDNlODg2OTEwZDA3YTQiLCJ1c2VySWQiOiIyNzkxNzE2MTYifQ==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6</Pages>
  <Words>1819</Words>
  <Characters>1867</Characters>
  <Application>WPS Office_11.8.2.10505_F1E327BC-269C-435d-A152-05C5408002CA</Application>
  <DocSecurity>0</DocSecurity>
  <Lines>24</Lines>
  <Paragraphs>7</Paragraphs>
  <CharactersWithSpaces>1867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刘杨</dc:creator>
  <cp:lastModifiedBy>刘杨</cp:lastModifiedBy>
  <cp:revision>2</cp:revision>
  <cp:lastPrinted>2025-11-15T02:52:00Z</cp:lastPrinted>
  <dcterms:created xsi:type="dcterms:W3CDTF">2022-11-06T15:59:00Z</dcterms:created>
  <dcterms:modified xsi:type="dcterms:W3CDTF">2025-11-14T10:48:52Z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1F22F5A2475B4EE7BCC4016FAD7C2BFC_13</vt:lpwstr>
  </property>
  <property fmtid="{D5CDD505-2E9C-101B-9397-08002B2CF9AE}" pid="4" name="KSOTemplateDocerSaveRecord">
    <vt:lpwstr>eyJoZGlkIjoiM2FkOWRiMjJiM2Q4MTU4ODQ0MDNlODg2OTEwZDA3YTQiLCJ1c2VySWQiOiIyNzkxNzE2MTYifQ_x003D__x003D_</vt:lpwstr>
  </property>
</Properties>
</file>