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1040"/>
        </w:trPr>
        <w:tc>
          <w:tcPr>
            <w:tcw w:w="9700" w:type="dxa"/>
            <w:gridSpan w:val="10"/>
            <w:vAlign w:val="center"/>
            <w:tcMar>
              <w:left w:w="0" w:type="dxa"/>
              <w:right w:w="0" w:type="dxa"/>
            </w:tcMar>
            <w:tcBorders>
              <w:bottom w:val="single" w:sz="6" w:space="0" w:color="000000"/>
            </w:tcBorders>
          </w:tcPr>
          <w:p w:rsidR="004E2AA9" w:rsidRDefault="004E2AA9">
            <w:pPr>
              <w:spacing w:lineRule="auto" w:line="240"/>
              <w:jc w:val="center"/>
              <w:rPr/>
            </w:pPr>
            <w:r w:rsidRPr="000979EC">
              <w:rPr/>
              <w:rPr>
                <w:rFonts w:ascii="宋体" w:eastAsia="宋体" w:hint="eastAsia"/>
                <w:sz w:val="32"/>
                <w:szCs w:val="28"/>
                <w:color w:val="000000"/>
              </w:rPr>
              <w:t xml:space="preserve">中国科学院半导体研究所因公出访信息事前公示表</w:t>
            </w:r>
          </w:p>
        </w:tc>
      </w:tr>
      <w:tr w:rsidR="000979EC" w:rsidTr="000979EC">
        <w:trPr>
          <w:trHeight w:hRule="exact" w:val="68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任务名称</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参加德国中国物理学家协会（GCPD）2025年度会议并顺访德国德累斯顿-罗森多夫亥姆霍兹研究中心</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交流形式</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国际会议</w:t>
            </w:r>
          </w:p>
        </w:tc>
      </w:tr>
      <w:tr w:rsidR="000979EC" w:rsidTr="000979EC">
        <w:trPr>
          <w:trHeight w:hRule="exact" w:val="4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拟出访人员名单</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姓名</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性别</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所在部门</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职务</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骆军委</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男</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无</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谭平恒</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男</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所长</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赵超</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男</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中国科学院半导体研究所</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无</w:t>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出访国家(地区)</w:t>
            </w:r>
          </w:p>
        </w:tc>
        <w:tc>
          <w:tcPr>
            <w:tcw w:w="3640" w:type="dxa"/>
            <w:gridSpan w:val="4"/>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德国</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过境国家(地区)</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
            </w:r>
          </w:p>
        </w:tc>
      </w:tr>
      <w:tr w:rsidR="000979EC" w:rsidTr="000979EC">
        <w:trPr>
          <w:trHeight w:hRule="exact" w:val="46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出访日期</w:t>
            </w:r>
          </w:p>
        </w:tc>
        <w:tc>
          <w:tcPr>
            <w:tcw w:w="190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离境日期</w:t>
            </w:r>
          </w:p>
        </w:tc>
        <w:tc>
          <w:tcPr>
            <w:tcw w:w="174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2025-12-05</w:t>
            </w:r>
          </w:p>
        </w:tc>
        <w:tc>
          <w:tcPr>
            <w:tcw w:w="202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抵境日期</w:t>
            </w:r>
          </w:p>
        </w:tc>
        <w:tc>
          <w:tcPr>
            <w:tcw w:w="21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jc w:val="left"/>
              <w:rPr/>
            </w:pPr>
            <w:r w:rsidRPr="000979EC">
              <w:rPr>
                <w:rFonts w:ascii="宋体" w:eastAsia="宋体" w:hint="eastAsia"/>
                <w:sz w:val="22"/>
                <w:szCs w:val="28"/>
                <w:color w:val="000000"/>
              </w:rPr>
              <w:t>2025-12-12</w:t>
            </w:r>
          </w:p>
        </w:tc>
      </w:tr>
      <w:tr w:rsidR="000979EC" w:rsidTr="000979EC">
        <w:trPr>
          <w:trHeight w:hRule="exact" w:val="358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国（境）外邀请人姓名、单位</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shd w:val="clear" w:color="auto" w:fill="FFFFFF"/>
          </w:tcPr>
          <w:p w:rsidR="004E2AA9" w:rsidRDefault="004E2AA9">
            <w:pPr>
              <w:spacing w:lineRule="auto" w:line="240"/>
              <w:jc w:val="left"/>
              <w:rPr/>
            </w:pPr>
            <w:r w:rsidRPr="000979EC">
              <w:rPr/>
              <w:rPr>
                <w:rFonts w:ascii="宋体" w:eastAsia="宋体" w:hint="eastAsia"/>
                <w:sz w:val="22"/>
                <w:szCs w:val="28"/>
                <w:color w:val="000000"/>
              </w:rPr>
              <w:t xml:space="preserve">1、邀请人：Prof. Dr. Fei Ding</w:t>
            </w:r>
          </w:p>
          <w:p w:rsidR="004E2AA9" w:rsidRDefault="004E2AA9">
            <w:pPr>
              <w:spacing w:lineRule="auto" w:line="240"/>
              <w:jc w:val="left"/>
              <w:rPr/>
            </w:pPr>
            <w:r w:rsidRPr="000979EC">
              <w:rPr/>
              <w:rPr>
                <w:rFonts w:ascii="宋体" w:eastAsia="宋体" w:hint="eastAsia"/>
                <w:sz w:val="22"/>
                <w:szCs w:val="28"/>
                <w:color w:val="000000"/>
              </w:rPr>
              <w:t xml:space="preserve">职务：Director, Institute for Solid State Physics，</w:t>
            </w:r>
          </w:p>
          <w:p w:rsidR="004E2AA9" w:rsidRDefault="004E2AA9">
            <w:pPr>
              <w:spacing w:lineRule="auto" w:line="240"/>
              <w:jc w:val="left"/>
              <w:rPr/>
            </w:pPr>
            <w:r w:rsidRPr="000979EC">
              <w:rPr/>
              <w:rPr>
                <w:rFonts w:ascii="宋体" w:eastAsia="宋体" w:hint="eastAsia"/>
                <w:sz w:val="22"/>
                <w:szCs w:val="28"/>
                <w:color w:val="000000"/>
              </w:rPr>
              <w:t xml:space="preserve">单位：Leibniz University Hannover</w:t>
            </w:r>
          </w:p>
          <w:p w:rsidR="004E2AA9" w:rsidRDefault="004E2AA9">
            <w:pPr>
              <w:spacing w:lineRule="auto" w:line="240"/>
              <w:jc w:val="left"/>
              <w:rPr/>
            </w:pPr>
            <w:r w:rsidRPr="000979EC">
              <w:rPr/>
              <w:rPr>
                <w:rFonts w:ascii="宋体" w:eastAsia="宋体" w:hint="eastAsia"/>
                <w:sz w:val="22"/>
                <w:szCs w:val="28"/>
                <w:color w:val="000000"/>
              </w:rPr>
              <w:t xml:space="preserve">电话: +49 5117624821</w:t>
            </w:r>
          </w:p>
          <w:p w:rsidR="004E2AA9" w:rsidRDefault="004E2AA9">
            <w:pPr>
              <w:spacing w:lineRule="auto" w:line="240"/>
              <w:jc w:val="left"/>
              <w:rPr/>
            </w:pPr>
            <w:r w:rsidRPr="000979EC">
              <w:rPr/>
              <w:rPr>
                <w:rFonts w:ascii="宋体" w:eastAsia="宋体" w:hint="eastAsia"/>
                <w:sz w:val="22"/>
                <w:szCs w:val="28"/>
                <w:color w:val="000000"/>
              </w:rPr>
              <w:t xml:space="preserve">邮箱: f.ding@fkp.uni-hannover.de</w:t>
            </w:r>
          </w:p>
          <w:p w:rsidR="004E2AA9" w:rsidRDefault="004E2AA9">
            <w:pPr>
              <w:spacing w:lineRule="auto" w:line="240"/>
              <w:jc w:val="left"/>
              <w:rPr/>
            </w:pPr>
            <w:r w:rsidRPr="000979EC">
              <w:rPr/>
              <w:rPr>
                <w:rFonts w:ascii="宋体" w:eastAsia="宋体" w:hint="eastAsia"/>
                <w:sz w:val="22"/>
                <w:szCs w:val="28"/>
                <w:color w:val="000000"/>
              </w:rPr>
              <w:t xml:space="preserve">2、邀请人：Dr. Shengqiang Zhou</w:t>
            </w:r>
          </w:p>
          <w:p w:rsidR="004E2AA9" w:rsidRDefault="004E2AA9">
            <w:pPr>
              <w:spacing w:lineRule="auto" w:line="240"/>
              <w:jc w:val="left"/>
              <w:rPr/>
            </w:pPr>
            <w:r w:rsidRPr="000979EC">
              <w:rPr/>
              <w:rPr>
                <w:rFonts w:ascii="宋体" w:eastAsia="宋体" w:hint="eastAsia"/>
                <w:sz w:val="22"/>
                <w:szCs w:val="28"/>
                <w:color w:val="000000"/>
              </w:rPr>
              <w:t xml:space="preserve"> 职务：the department leader of “Semiconductor Materials” </w:t>
            </w:r>
          </w:p>
          <w:p w:rsidR="004E2AA9" w:rsidRDefault="004E2AA9">
            <w:pPr>
              <w:spacing w:lineRule="auto" w:line="240"/>
              <w:jc w:val="left"/>
              <w:rPr/>
            </w:pPr>
            <w:r w:rsidRPr="000979EC">
              <w:rPr/>
              <w:rPr>
                <w:rFonts w:ascii="宋体" w:eastAsia="宋体" w:hint="eastAsia"/>
                <w:sz w:val="22"/>
                <w:szCs w:val="28"/>
                <w:color w:val="000000"/>
              </w:rPr>
              <w:t xml:space="preserve">单位： Helmholtz-Zentrum Dresden-Rossendorf</w:t>
            </w:r>
          </w:p>
          <w:p w:rsidR="004E2AA9" w:rsidRDefault="004E2AA9">
            <w:pPr>
              <w:spacing w:lineRule="auto" w:line="240"/>
              <w:jc w:val="left"/>
              <w:rPr/>
            </w:pPr>
            <w:r w:rsidRPr="000979EC">
              <w:rPr/>
              <w:rPr>
                <w:rFonts w:ascii="宋体" w:eastAsia="宋体" w:hint="eastAsia"/>
                <w:sz w:val="22"/>
                <w:szCs w:val="28"/>
                <w:color w:val="000000"/>
              </w:rPr>
              <w:t xml:space="preserve">电话： +49 351 260-2484</w:t>
            </w:r>
          </w:p>
          <w:p w:rsidR="004E2AA9" w:rsidRDefault="004E2AA9">
            <w:pPr>
              <w:spacing w:lineRule="auto" w:line="240"/>
              <w:jc w:val="left"/>
              <w:rPr/>
            </w:pPr>
            <w:r w:rsidRPr="000979EC">
              <w:rPr/>
              <w:rPr>
                <w:rFonts w:ascii="宋体" w:eastAsia="宋体" w:hint="eastAsia"/>
                <w:sz w:val="22"/>
                <w:szCs w:val="28"/>
                <w:color w:val="000000"/>
              </w:rPr>
              <w:t xml:space="preserve">传真：+49 351 260-12484</w:t>
            </w:r>
          </w:p>
          <w:p w:rsidR="004E2AA9" w:rsidRDefault="004E2AA9">
            <w:pPr>
              <w:spacing w:lineRule="auto" w:line="240"/>
              <w:jc w:val="left"/>
              <w:rPr/>
            </w:pPr>
            <w:r w:rsidRPr="000979EC">
              <w:rPr/>
              <w:rPr>
                <w:rFonts w:ascii="宋体" w:eastAsia="宋体" w:hint="eastAsia"/>
                <w:sz w:val="22"/>
                <w:szCs w:val="28"/>
                <w:color w:val="000000"/>
              </w:rPr>
              <w:t xml:space="preserve">邮箱：s.zhou@hzdr.de</w:t>
            </w:r>
          </w:p>
        </w:tc>
      </w:tr>
      <w:tr w:rsidR="000979EC" w:rsidTr="000979EC">
        <w:trPr>
          <w:trHeight w:hRule="exact" w:val="104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出访理由</w:t>
            </w:r>
          </w:p>
        </w:tc>
        <w:tc>
          <w:tcPr>
            <w:tcw w:w="7820" w:type="dxa"/>
            <w:gridSpan w:val="8"/>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       应德国汉诺夫莱布尼茨大学丁飞教授的邀请，我单位骆军委等3人拟于2025年12月5日-2025年12月8日赴德国参加德国中国物理学家协会2025年度会议（GCPD 2025) ，应德累斯顿-罗森多夫亥姆霍兹研究中心周生强教授邀请，骆军委和赵超两人拟于2025年12月9日-12月11日顺访德国德累斯顿-罗森多夫亥姆霍兹研究中心的任务，谭平恒拟在外停留5天；骆军委和赵超拟在外停留8天。</w:t>
            </w:r>
          </w:p>
          <w:p w:rsidR="004E2AA9" w:rsidRDefault="004E2AA9">
            <w:pPr>
              <w:spacing w:lineRule="auto" w:line="240"/>
              <w:jc w:val="left"/>
              <w:rPr/>
            </w:pPr>
            <w:r w:rsidRPr="000979EC">
              <w:rPr/>
              <w:rPr>
                <w:rFonts w:ascii="宋体" w:eastAsia="宋体" w:hint="eastAsia"/>
                <w:sz w:val="22"/>
                <w:szCs w:val="28"/>
                <w:color w:val="000000"/>
              </w:rPr>
              <w:t xml:space="preserve">       德国中国物理学家物理协会（GCPD 2025) ，一直致力于鼓励中德在物理学领域的交流与合作。年会旨在汇集来自德国和中国的研究人员和从业者具有物理学背景，可以讨论最先进的科学和尖端技术，从而加强中德科技交流与合作物理及相关领域。周生强教授是德国亥姆霍兹德累斯顿罗森多夫研究中心（HZDR）终身研究员，现任半导体材料部门主任，工作集中在离子注入半导体掺杂和改性，亚秒时间尺度半导体材料退火处理，离子束缺陷工程以及离子束/</w:t>
            </w:r>
          </w:p>
        </w:tc>
      </w:tr>
      <w:tr w:rsidR="000979EC" w:rsidTr="000979EC">
        <w:trPr>
          <w:trHeight w:hRule="exact" w:val="10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104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104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bottom w:val="single" w:sz="6" w:space="0" w:color="000000"/>
            </w:tcBorders>
          </w:tcPr>
          <w:p w:rsidR="004E2AA9" w:rsidRDefault="004E2AA9">
            <w:pPr/>
          </w:p>
        </w:tc>
      </w:tr>
    </w:tbl>
    <w:p w:rsidR="004E2AA9" w:rsidRDefault="004E2AA9">
      <w:pPr>
        <w:widowControl/>
        <w:jc w:val="left"/>
        <w:rPr>
          <w:sz w:val="2"/>
          <w:szCs w:val="2"/>
        </w:rPr>
      </w:pPr>
      <w:r>
        <w:br w:type="page"/>
      </w:r>
    </w:p>
    <w:tbl>
      <w:tblPr>
        <w:tblpPr/>
        <w:tblW w:w="9700.0" w:type="dxa"/>
        <w:jc w:val="center"/>
        <w:tblLayout w:type="fixed"/>
        <w:tblLook w:val="04A0" w:firstRow="1" w:lastRow="0" w:firstColumn="1" w:lastColumn="0" w:noHBand="0" w:noVBand="1"/>
      </w:tblPr>
      <w:tblGrid>
        <w:gridCol w:w="980" w:type="dxa"/>
        <w:gridCol w:w="900" w:type="dxa"/>
        <w:gridCol w:w="840" w:type="dxa"/>
        <w:gridCol w:w="1060" w:type="dxa"/>
        <w:gridCol w:w="600" w:type="dxa"/>
        <w:gridCol w:w="1140" w:type="dxa"/>
        <w:gridCol w:w="880" w:type="dxa"/>
        <w:gridCol w:w="1140" w:type="dxa"/>
        <w:gridCol w:w="1240" w:type="dxa"/>
        <w:gridCol w:w="920" w:type="dxa"/>
      </w:tblGrid>
      <w:tr w:rsidR="000979EC" w:rsidTr="000979EC">
        <w:trPr>
          <w:trHeight w:hRule="exact" w:val="11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
            </w:r>
          </w:p>
        </w:tc>
        <w:tc>
          <w:tcPr>
            <w:tcw w:w="7820" w:type="dxa"/>
            <w:gridSpan w:val="8"/>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退火辅助合成新材料。</w:t>
            </w:r>
          </w:p>
          <w:p w:rsidR="004E2AA9" w:rsidRDefault="004E2AA9">
            <w:pPr>
              <w:spacing w:lineRule="auto" w:line="240"/>
              <w:jc w:val="left"/>
              <w:rPr/>
            </w:pPr>
            <w:r w:rsidRPr="000979EC">
              <w:rPr/>
              <w:rPr>
                <w:rFonts w:ascii="宋体" w:eastAsia="宋体" w:hint="eastAsia"/>
                <w:sz w:val="22"/>
                <w:szCs w:val="28"/>
                <w:color w:val="000000"/>
              </w:rPr>
              <w:t xml:space="preserve">       出访人谭平恒是中国科学院半导体研究所研究员，长期从事半导体光学、半导体物理与器件物理方面的研究工作，本次出访成员谭平恒研究员参加GCPD 2025会议并作邀请报告“Phonon Physics in Low-Dimensional Semiconductors”，会后返京。</w:t>
            </w:r>
          </w:p>
          <w:p w:rsidR="004E2AA9" w:rsidRDefault="004E2AA9">
            <w:pPr>
              <w:spacing w:lineRule="auto" w:line="240"/>
              <w:jc w:val="left"/>
              <w:rPr/>
            </w:pPr>
            <w:r w:rsidRPr="000979EC">
              <w:rPr/>
              <w:rPr>
                <w:rFonts w:ascii="宋体" w:eastAsia="宋体" w:hint="eastAsia"/>
                <w:sz w:val="22"/>
                <w:szCs w:val="28"/>
                <w:color w:val="000000"/>
              </w:rPr>
              <w:t xml:space="preserve">       出访人骆军委是中国科学院半导体研究所研究员，长期从事半导体物理与器件物理的研究，本次出访骆军委研究员参加GCPD 2025会议并作邀请报告“Reducing Bonding Forces for creating Higher K Gate Dielectrics”。出访人赵超是中国科学院半导体研究所研究员，长期从事III-V族半导体材料异质外延和器件构筑方面的研究，本次出访作邀请报告“Machine Learning-Assisted Smart Epitaxy of III-V Quantum Dot and Devices”。会后骆军委和赵超将前往亥姆霍兹研究中心参观实验室学习周生强教授在半导体离子注入和掺杂等方面的最新研究，开展关于半导体材料优化的学术活动，有利于进一步开展国际合作。本次出访有助于半导体研究所在半导体材料物理领域研究水平的提升。</w:t>
            </w:r>
          </w:p>
          <w:p w:rsidR="004E2AA9" w:rsidRDefault="004E2AA9">
            <w:pPr>
              <w:spacing w:lineRule="auto" w:line="240"/>
              <w:jc w:val="left"/>
              <w:rPr/>
            </w:pPr>
            <w:r w:rsidRPr="000979EC">
              <w:rPr/>
              <w:rPr>
                <w:rFonts w:ascii="宋体" w:eastAsia="宋体" w:hint="eastAsia"/>
                <w:sz w:val="22"/>
                <w:szCs w:val="28"/>
                <w:color w:val="000000"/>
              </w:rPr>
              <w:t xml:space="preserve">        此次出访的国际旅费和境外生活费由半导体所支付，在境外发生任何意外责任由半导体所承担。此次出访的相关信息已在半导体所的所务公开网上公示，且无异议；此次出访的人员信息已进行备案，单位已经完成行前教育。</w:t>
            </w:r>
          </w:p>
        </w:tc>
      </w:tr>
      <w:tr w:rsidR="000979EC" w:rsidTr="000979EC">
        <w:trPr>
          <w:trHeight w:hRule="exact" w:val="116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116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116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tcBorders>
          </w:tcPr>
          <w:p w:rsidR="004E2AA9" w:rsidRDefault="004E2AA9">
            <w:pPr/>
          </w:p>
        </w:tc>
      </w:tr>
      <w:tr w:rsidR="000979EC" w:rsidTr="000979EC">
        <w:trPr>
          <w:trHeight w:hRule="exact" w:val="116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7820" w:type="dxa"/>
            <w:gridSpan w:val="8"/>
            <w:vMerge/>
            <w:tcMar>
              <w:left w:w="0" w:type="dxa"/>
              <w:right w:w="0" w:type="dxa"/>
            </w:tcMar>
            <w:tcBorders>
              <w:left w:val="single" w:sz="6" w:space="0" w:color="000000"/>
              <w:right w:val="single" w:sz="6" w:space="0" w:color="000000"/>
              <w:bottom w:val="single" w:sz="6" w:space="0" w:color="000000"/>
            </w:tcBorders>
          </w:tcPr>
          <w:p w:rsidR="004E2AA9" w:rsidRDefault="004E2AA9">
            <w:pPr/>
          </w:p>
        </w:tc>
      </w:tr>
      <w:tr w:rsidR="000979EC" w:rsidTr="000979EC">
        <w:trPr>
          <w:trHeight w:hRule="exact" w:val="2600"/>
        </w:trPr>
        <w:tc>
          <w:tcPr>
            <w:tcw w:w="188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出访日程安排</w:t>
            </w:r>
          </w:p>
        </w:tc>
        <w:tc>
          <w:tcPr>
            <w:tcw w:w="7820" w:type="dxa"/>
            <w:gridSpan w:val="8"/>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left"/>
              <w:rPr/>
            </w:pPr>
            <w:r w:rsidRPr="000979EC">
              <w:rPr/>
              <w:rPr>
                <w:rFonts w:ascii="宋体" w:eastAsia="宋体" w:hint="eastAsia"/>
                <w:sz w:val="22"/>
                <w:szCs w:val="28"/>
                <w:color w:val="000000"/>
              </w:rPr>
              <w:t xml:space="preserve">2025/12/05 离境出京，抵达德国汉诺威；2025/12/06-2025/12/07参加GCPD 2025会议并分别作邀请报告；2025/12/08 会议结束，谭平恒研究员离开德国；骆军委和赵超两位研究员前往德国德累斯顿；2025/12/09 谭平恒研究员抵达北京；骆军委和赵超两位研究员在亥姆霍兹研究中心周生强教授课题组参观实验室并开展关于半导体材料生长和优化的学术交流；2025/12/10 根据对半导体材料领域的了解以及学术讨论的交流，与周生强教授组商讨学术合作研究事宜；2025/12/11 骆军委和赵超两位研究员离开德国；2025/12/12 抵达北京</w:t>
            </w:r>
          </w:p>
        </w:tc>
      </w:tr>
      <w:tr w:rsidR="000979EC" w:rsidTr="000979EC">
        <w:trPr>
          <w:trHeight w:hRule="exact" w:val="460"/>
        </w:trPr>
        <w:tc>
          <w:tcPr>
            <w:tcw w:w="1880" w:type="dxa"/>
            <w:gridSpan w:val="2"/>
            <w:vMerge w:val="restart"/>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费用来源及开支预算明细</w:t>
            </w: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经费来源</w:t>
            </w:r>
          </w:p>
        </w:tc>
        <w:tc>
          <w:tcPr>
            <w:tcw w:w="5320" w:type="dxa"/>
            <w:gridSpan w:val="5"/>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left"/>
              <w:rPr/>
            </w:pPr>
            <w:r w:rsidRPr="000979EC">
              <w:rPr/>
              <w:rPr>
                <w:rFonts w:ascii="宋体" w:eastAsia="宋体" w:hint="eastAsia"/>
                <w:sz w:val="22"/>
                <w:szCs w:val="28"/>
                <w:color w:val="000000"/>
              </w:rPr>
              <w:t xml:space="preserve">人员所在单位支付</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tcBorders>
          </w:tcPr>
          <w:p w:rsidR="004E2AA9" w:rsidRDefault="004E2AA9">
            <w:pP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国际旅费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注册费</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交通费</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住宿费</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伙食费/公杂费</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宋体" w:eastAsia="宋体" w:hint="eastAsia"/>
                <w:sz w:val="22"/>
                <w:szCs w:val="28"/>
                <w:color w:val="000000"/>
              </w:rPr>
              <w:t xml:space="preserve">其他</w:t>
            </w:r>
          </w:p>
        </w:tc>
      </w:tr>
      <w:tr w:rsidR="000979EC" w:rsidTr="000979EC">
        <w:trPr>
          <w:trHeight w:hRule="exact" w:val="680"/>
        </w:trPr>
        <w:tc>
          <w:tcPr>
            <w:tcw w:w="1880" w:type="dxa"/>
            <w:gridSpan w:val="2"/>
            <w:vMerge/>
            <w:tcMar>
              <w:left w:w="0" w:type="dxa"/>
              <w:right w:w="0" w:type="dxa"/>
            </w:tcMar>
            <w:tcBorders>
              <w:left w:val="single" w:sz="6" w:space="0" w:color="000000"/>
              <w:right w:val="single" w:sz="6" w:space="0" w:color="000000"/>
              <w:bottom w:val="single" w:sz="6" w:space="0" w:color="000000"/>
            </w:tcBorders>
          </w:tcPr>
          <w:p w:rsidR="004E2AA9" w:rsidRDefault="004E2AA9">
            <w:pPr/>
          </w:p>
        </w:tc>
        <w:tc>
          <w:tcPr>
            <w:tcw w:w="2500" w:type="dxa"/>
            <w:gridSpan w:val="3"/>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80000人民币</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0人民币</w:t>
            </w:r>
          </w:p>
        </w:tc>
        <w:tc>
          <w:tcPr>
            <w:tcw w:w="88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500欧元</w:t>
            </w:r>
          </w:p>
        </w:tc>
        <w:tc>
          <w:tcPr>
            <w:tcw w:w="11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2520欧元</w:t>
            </w:r>
          </w:p>
        </w:tc>
        <w:tc>
          <w:tcPr>
            <w:tcw w:w="12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1260欧元/798欧元</w:t>
            </w:r>
          </w:p>
        </w:tc>
        <w:tc>
          <w:tcPr>
            <w:tcw w:w="92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ind w:left="35.0" w:leftChars="16.666668"/>
              <w:jc w:val="center"/>
              <w:rPr/>
            </w:pPr>
            <w:r w:rsidRPr="000979EC">
              <w:rPr/>
              <w:rPr>
                <w:rFonts w:ascii="宋体" w:eastAsia="宋体" w:hint="eastAsia"/>
                <w:sz w:val="22"/>
                <w:szCs w:val="28"/>
                <w:color w:val="000000"/>
              </w:rPr>
              <w:t xml:space="preserve">5000人民币</w:t>
            </w:r>
          </w:p>
        </w:tc>
      </w:tr>
    </w:tbl>
    <w:p w:rsidR="004E2AA9" w:rsidRDefault="004E2AA9">
      <w:pPr>
        <w:sectPr w:rsidR="004E2AA9">
          <w:pgSz w:w="11906" w:h="16838"/>
          <w:pgMar w:top="1400" w:right="1060" w:bottom="1400" w:left="1060" w:header="720" w:footer="720" w:gutter="0"/>
          <w:cols w:space="720"/>
          <w:noEndnote/>
          <w:docGrid w:linePitch="286"/>
        </w:sectPr>
      </w:pPr>
    </w:p>
    <w:sectPr w:rsidR="004E2AA9">
      <w:pgSz w:w="11906" w:h="16838"/>
      <w:pgMar w:top="1400" w:right="1060" w:bottom="1400" w:left="106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