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A9E" w:rsidRPr="002F5A9E" w:rsidRDefault="002F5A9E" w:rsidP="002F5A9E">
      <w:pPr>
        <w:widowControl/>
        <w:shd w:val="clear" w:color="auto" w:fill="FFFFFF"/>
        <w:spacing w:before="100" w:beforeAutospacing="1" w:after="100" w:afterAutospacing="1" w:line="405" w:lineRule="atLeast"/>
        <w:jc w:val="center"/>
        <w:rPr>
          <w:rFonts w:ascii="宋体" w:eastAsia="宋体" w:hAnsi="宋体" w:cs="宋体"/>
          <w:b/>
          <w:bCs/>
          <w:color w:val="B42517"/>
          <w:kern w:val="0"/>
          <w:sz w:val="27"/>
          <w:szCs w:val="27"/>
        </w:rPr>
      </w:pPr>
      <w:r w:rsidRPr="002F5A9E">
        <w:rPr>
          <w:rFonts w:ascii="宋体" w:eastAsia="宋体" w:hAnsi="宋体" w:cs="宋体" w:hint="eastAsia"/>
          <w:b/>
          <w:bCs/>
          <w:color w:val="B42517"/>
          <w:kern w:val="0"/>
          <w:sz w:val="27"/>
          <w:szCs w:val="27"/>
        </w:rPr>
        <w:t>国家科技重大专项（民口）资金管理办法新旧政策对比</w:t>
      </w:r>
    </w:p>
    <w:p w:rsidR="002F5A9E" w:rsidRPr="002F5A9E" w:rsidRDefault="002F5A9E" w:rsidP="002F5A9E">
      <w:pPr>
        <w:widowControl/>
        <w:shd w:val="clear" w:color="auto" w:fill="FFFFFF"/>
        <w:spacing w:line="405" w:lineRule="atLeast"/>
        <w:jc w:val="center"/>
        <w:rPr>
          <w:rFonts w:ascii="宋体" w:eastAsia="宋体" w:hAnsi="宋体" w:cs="宋体" w:hint="eastAsia"/>
          <w:b/>
          <w:bCs/>
          <w:color w:val="B42517"/>
          <w:kern w:val="0"/>
          <w:sz w:val="27"/>
          <w:szCs w:val="27"/>
        </w:rPr>
      </w:pPr>
      <w:r w:rsidRPr="002F5A9E">
        <w:rPr>
          <w:rFonts w:ascii="宋体" w:eastAsia="宋体" w:hAnsi="宋体" w:cs="宋体" w:hint="eastAsia"/>
          <w:b/>
          <w:bCs/>
          <w:color w:val="B42517"/>
          <w:kern w:val="0"/>
          <w:sz w:val="27"/>
          <w:szCs w:val="27"/>
        </w:rPr>
        <w:pict>
          <v:rect id="_x0000_i1025" style="width:0;height:1.5pt" o:hralign="center" o:hrstd="t" o:hrnoshade="t" o:hr="t" fillcolor="#ddd" stroked="f"/>
        </w:pict>
      </w:r>
    </w:p>
    <w:p w:rsidR="002F5A9E" w:rsidRPr="002F5A9E" w:rsidRDefault="002F5A9E" w:rsidP="002F5A9E">
      <w:pPr>
        <w:widowControl/>
        <w:shd w:val="clear" w:color="auto" w:fill="FFFFFF"/>
        <w:spacing w:line="405" w:lineRule="atLeast"/>
        <w:jc w:val="center"/>
        <w:rPr>
          <w:rFonts w:ascii="宋体" w:eastAsia="宋体" w:hAnsi="宋体" w:cs="宋体" w:hint="eastAsia"/>
          <w:b/>
          <w:bCs/>
          <w:color w:val="B42517"/>
          <w:kern w:val="0"/>
          <w:sz w:val="27"/>
          <w:szCs w:val="27"/>
        </w:rPr>
      </w:pPr>
      <w:r w:rsidRPr="002F5A9E">
        <w:rPr>
          <w:rFonts w:ascii="宋体" w:eastAsia="宋体" w:hAnsi="宋体" w:cs="宋体" w:hint="eastAsia"/>
          <w:b/>
          <w:bCs/>
          <w:color w:val="323232"/>
          <w:kern w:val="0"/>
          <w:sz w:val="18"/>
          <w:szCs w:val="18"/>
        </w:rPr>
        <w:t>日期：2017年08月16日     来源：</w:t>
      </w:r>
      <w:proofErr w:type="gramStart"/>
      <w:r w:rsidRPr="002F5A9E">
        <w:rPr>
          <w:rFonts w:ascii="宋体" w:eastAsia="宋体" w:hAnsi="宋体" w:cs="宋体" w:hint="eastAsia"/>
          <w:b/>
          <w:bCs/>
          <w:color w:val="323232"/>
          <w:kern w:val="0"/>
          <w:sz w:val="18"/>
          <w:szCs w:val="18"/>
        </w:rPr>
        <w:t>锐动源</w:t>
      </w:r>
      <w:proofErr w:type="gramEnd"/>
    </w:p>
    <w:p w:rsidR="002F5A9E" w:rsidRPr="002F5A9E" w:rsidRDefault="002F5A9E" w:rsidP="002F5A9E">
      <w:pPr>
        <w:widowControl/>
        <w:shd w:val="clear" w:color="auto" w:fill="FFFFFF"/>
        <w:spacing w:before="100" w:beforeAutospacing="1" w:after="100" w:afterAutospacing="1" w:line="390" w:lineRule="atLeast"/>
        <w:jc w:val="left"/>
        <w:rPr>
          <w:rFonts w:ascii="宋体" w:eastAsia="宋体" w:hAnsi="宋体" w:cs="宋体" w:hint="eastAsia"/>
          <w:color w:val="323232"/>
          <w:kern w:val="0"/>
          <w:szCs w:val="21"/>
        </w:rPr>
      </w:pPr>
      <w:r w:rsidRPr="002F5A9E">
        <w:rPr>
          <w:rFonts w:ascii="宋体" w:eastAsia="宋体" w:hAnsi="宋体" w:cs="宋体" w:hint="eastAsia"/>
          <w:color w:val="323232"/>
          <w:kern w:val="0"/>
          <w:szCs w:val="21"/>
        </w:rPr>
        <w:t xml:space="preserve">　  为了加深各位</w:t>
      </w:r>
      <w:proofErr w:type="gramStart"/>
      <w:r w:rsidRPr="002F5A9E">
        <w:rPr>
          <w:rFonts w:ascii="宋体" w:eastAsia="宋体" w:hAnsi="宋体" w:cs="宋体" w:hint="eastAsia"/>
          <w:color w:val="323232"/>
          <w:kern w:val="0"/>
          <w:szCs w:val="21"/>
        </w:rPr>
        <w:t>锐粉对</w:t>
      </w:r>
      <w:proofErr w:type="gramEnd"/>
      <w:r w:rsidRPr="002F5A9E">
        <w:rPr>
          <w:rFonts w:ascii="宋体" w:eastAsia="宋体" w:hAnsi="宋体" w:cs="宋体" w:hint="eastAsia"/>
          <w:color w:val="323232"/>
          <w:kern w:val="0"/>
          <w:szCs w:val="21"/>
        </w:rPr>
        <w:t>该文件以及《国务院办公厅关于印发国家科技重大专项组织实施工作规则的通知》（国办发〔2016〕105号）、《国家科技重大专项（民口）管理规定》（国</w:t>
      </w:r>
      <w:proofErr w:type="gramStart"/>
      <w:r w:rsidRPr="002F5A9E">
        <w:rPr>
          <w:rFonts w:ascii="宋体" w:eastAsia="宋体" w:hAnsi="宋体" w:cs="宋体" w:hint="eastAsia"/>
          <w:color w:val="323232"/>
          <w:kern w:val="0"/>
          <w:szCs w:val="21"/>
        </w:rPr>
        <w:t>科发专〔2017〕</w:t>
      </w:r>
      <w:proofErr w:type="gramEnd"/>
      <w:r w:rsidRPr="002F5A9E">
        <w:rPr>
          <w:rFonts w:ascii="宋体" w:eastAsia="宋体" w:hAnsi="宋体" w:cs="宋体" w:hint="eastAsia"/>
          <w:color w:val="323232"/>
          <w:kern w:val="0"/>
          <w:szCs w:val="21"/>
        </w:rPr>
        <w:t>145号）等办法的认识和理解，</w:t>
      </w:r>
      <w:proofErr w:type="gramStart"/>
      <w:r w:rsidRPr="002F5A9E">
        <w:rPr>
          <w:rFonts w:ascii="宋体" w:eastAsia="宋体" w:hAnsi="宋体" w:cs="宋体" w:hint="eastAsia"/>
          <w:color w:val="323232"/>
          <w:kern w:val="0"/>
          <w:szCs w:val="21"/>
        </w:rPr>
        <w:t>动源君</w:t>
      </w:r>
      <w:proofErr w:type="gramEnd"/>
      <w:r w:rsidRPr="002F5A9E">
        <w:rPr>
          <w:rFonts w:ascii="宋体" w:eastAsia="宋体" w:hAnsi="宋体" w:cs="宋体" w:hint="eastAsia"/>
          <w:color w:val="323232"/>
          <w:kern w:val="0"/>
          <w:szCs w:val="21"/>
        </w:rPr>
        <w:t>对《民口科技重大专项资金管理暂行办法》(</w:t>
      </w:r>
      <w:proofErr w:type="gramStart"/>
      <w:r w:rsidRPr="002F5A9E">
        <w:rPr>
          <w:rFonts w:ascii="宋体" w:eastAsia="宋体" w:hAnsi="宋体" w:cs="宋体" w:hint="eastAsia"/>
          <w:color w:val="323232"/>
          <w:kern w:val="0"/>
          <w:szCs w:val="21"/>
        </w:rPr>
        <w:t>财教〔2009〕</w:t>
      </w:r>
      <w:proofErr w:type="gramEnd"/>
      <w:r w:rsidRPr="002F5A9E">
        <w:rPr>
          <w:rFonts w:ascii="宋体" w:eastAsia="宋体" w:hAnsi="宋体" w:cs="宋体" w:hint="eastAsia"/>
          <w:color w:val="323232"/>
          <w:kern w:val="0"/>
          <w:szCs w:val="21"/>
        </w:rPr>
        <w:t>218号)和财科教〔2017〕74号进行一下政策对比。需要说明的是，这只是</w:t>
      </w:r>
      <w:proofErr w:type="gramStart"/>
      <w:r w:rsidRPr="002F5A9E">
        <w:rPr>
          <w:rFonts w:ascii="宋体" w:eastAsia="宋体" w:hAnsi="宋体" w:cs="宋体" w:hint="eastAsia"/>
          <w:color w:val="323232"/>
          <w:kern w:val="0"/>
          <w:szCs w:val="21"/>
        </w:rPr>
        <w:t>锐动源</w:t>
      </w:r>
      <w:proofErr w:type="gramEnd"/>
      <w:r w:rsidRPr="002F5A9E">
        <w:rPr>
          <w:rFonts w:ascii="宋体" w:eastAsia="宋体" w:hAnsi="宋体" w:cs="宋体" w:hint="eastAsia"/>
          <w:color w:val="323232"/>
          <w:kern w:val="0"/>
          <w:szCs w:val="21"/>
        </w:rPr>
        <w:t>编辑部根据现有政策的梳理，非官方解读，最终</w:t>
      </w:r>
      <w:proofErr w:type="gramStart"/>
      <w:r w:rsidRPr="002F5A9E">
        <w:rPr>
          <w:rFonts w:ascii="宋体" w:eastAsia="宋体" w:hAnsi="宋体" w:cs="宋体" w:hint="eastAsia"/>
          <w:color w:val="323232"/>
          <w:kern w:val="0"/>
          <w:szCs w:val="21"/>
        </w:rPr>
        <w:t>执行请</w:t>
      </w:r>
      <w:proofErr w:type="gramEnd"/>
      <w:r w:rsidRPr="002F5A9E">
        <w:rPr>
          <w:rFonts w:ascii="宋体" w:eastAsia="宋体" w:hAnsi="宋体" w:cs="宋体" w:hint="eastAsia"/>
          <w:color w:val="323232"/>
          <w:kern w:val="0"/>
          <w:szCs w:val="21"/>
        </w:rPr>
        <w:t>参照国家相关文件规定。</w:t>
      </w:r>
      <w:r w:rsidRPr="002F5A9E">
        <w:rPr>
          <w:rFonts w:ascii="宋体" w:eastAsia="宋体" w:hAnsi="宋体" w:cs="宋体" w:hint="eastAsia"/>
          <w:color w:val="323232"/>
          <w:kern w:val="0"/>
          <w:szCs w:val="21"/>
        </w:rPr>
        <w:br/>
      </w:r>
      <w:r w:rsidRPr="002F5A9E">
        <w:rPr>
          <w:rFonts w:ascii="宋体" w:eastAsia="宋体" w:hAnsi="宋体" w:cs="宋体" w:hint="eastAsia"/>
          <w:b/>
          <w:bCs/>
          <w:color w:val="323232"/>
          <w:kern w:val="0"/>
          <w:szCs w:val="21"/>
        </w:rPr>
        <w:t xml:space="preserve">　  01 总则部分增加了重大资金的使用和管理应遵循的原则。</w:t>
      </w:r>
      <w:r w:rsidRPr="002F5A9E">
        <w:rPr>
          <w:rFonts w:ascii="宋体" w:eastAsia="宋体" w:hAnsi="宋体" w:cs="宋体" w:hint="eastAsia"/>
          <w:b/>
          <w:bCs/>
          <w:color w:val="323232"/>
          <w:kern w:val="0"/>
          <w:szCs w:val="21"/>
        </w:rPr>
        <w:br/>
      </w:r>
      <w:r w:rsidRPr="002F5A9E">
        <w:rPr>
          <w:rFonts w:ascii="宋体" w:eastAsia="宋体" w:hAnsi="宋体" w:cs="宋体" w:hint="eastAsia"/>
          <w:color w:val="323232"/>
          <w:kern w:val="0"/>
          <w:szCs w:val="21"/>
        </w:rPr>
        <w:t xml:space="preserve">　  即明确：</w:t>
      </w:r>
      <w:r w:rsidRPr="002F5A9E">
        <w:rPr>
          <w:rFonts w:ascii="宋体" w:eastAsia="宋体" w:hAnsi="宋体" w:cs="宋体" w:hint="eastAsia"/>
          <w:color w:val="323232"/>
          <w:kern w:val="0"/>
          <w:szCs w:val="21"/>
        </w:rPr>
        <w:br/>
        <w:t xml:space="preserve">　  （一）集中财力，聚焦重点。聚焦国家重大战略产品和重大产业化目标，发挥举国体制的优势，集中财力，突出重点，避免资金安排分散重复。</w:t>
      </w:r>
      <w:r w:rsidRPr="002F5A9E">
        <w:rPr>
          <w:rFonts w:ascii="宋体" w:eastAsia="宋体" w:hAnsi="宋体" w:cs="宋体" w:hint="eastAsia"/>
          <w:color w:val="323232"/>
          <w:kern w:val="0"/>
          <w:szCs w:val="21"/>
        </w:rPr>
        <w:br/>
        <w:t xml:space="preserve">　  （二）放管结合，权责对等。进一步转变政府职能，坚持做好“放管服”，充分发挥相关管理机构的作用，明确职责，强化担当，落实资金管理责任。</w:t>
      </w:r>
      <w:r w:rsidRPr="002F5A9E">
        <w:rPr>
          <w:rFonts w:ascii="宋体" w:eastAsia="宋体" w:hAnsi="宋体" w:cs="宋体" w:hint="eastAsia"/>
          <w:color w:val="323232"/>
          <w:kern w:val="0"/>
          <w:szCs w:val="21"/>
        </w:rPr>
        <w:br/>
        <w:t xml:space="preserve">　  （三）多元投入，注重绩效。坚持多元化投入原则，积极发挥市场配置技术创新资源的决定性作用和企业技术创新的主体作用，突出需求牵引和成果绩效导向，提高资金使用效益。</w:t>
      </w:r>
      <w:r w:rsidRPr="002F5A9E">
        <w:rPr>
          <w:rFonts w:ascii="宋体" w:eastAsia="宋体" w:hAnsi="宋体" w:cs="宋体" w:hint="eastAsia"/>
          <w:color w:val="323232"/>
          <w:kern w:val="0"/>
          <w:szCs w:val="21"/>
        </w:rPr>
        <w:br/>
        <w:t xml:space="preserve">　  （四）专款专用，单独核算。各种渠道获得的资金都应当按照“专款专用、单独核算”的原则使用和管理。</w:t>
      </w:r>
      <w:r w:rsidRPr="002F5A9E">
        <w:rPr>
          <w:rFonts w:ascii="宋体" w:eastAsia="宋体" w:hAnsi="宋体" w:cs="宋体" w:hint="eastAsia"/>
          <w:color w:val="323232"/>
          <w:kern w:val="0"/>
          <w:szCs w:val="21"/>
        </w:rPr>
        <w:br/>
      </w:r>
      <w:r w:rsidRPr="002F5A9E">
        <w:rPr>
          <w:rFonts w:ascii="宋体" w:eastAsia="宋体" w:hAnsi="宋体" w:cs="宋体" w:hint="eastAsia"/>
          <w:b/>
          <w:bCs/>
          <w:color w:val="323232"/>
          <w:kern w:val="0"/>
          <w:szCs w:val="21"/>
        </w:rPr>
        <w:t xml:space="preserve">　  02 组织管理体系增加了部际联席会议、专业机构，去掉了重大专项领导小组这一层级。</w:t>
      </w:r>
      <w:r w:rsidRPr="002F5A9E">
        <w:rPr>
          <w:rFonts w:ascii="宋体" w:eastAsia="宋体" w:hAnsi="宋体" w:cs="宋体" w:hint="eastAsia"/>
          <w:b/>
          <w:bCs/>
          <w:color w:val="323232"/>
          <w:kern w:val="0"/>
          <w:szCs w:val="21"/>
        </w:rPr>
        <w:br/>
      </w:r>
      <w:r w:rsidRPr="002F5A9E">
        <w:rPr>
          <w:rFonts w:ascii="宋体" w:eastAsia="宋体" w:hAnsi="宋体" w:cs="宋体" w:hint="eastAsia"/>
          <w:color w:val="323232"/>
          <w:kern w:val="0"/>
          <w:szCs w:val="21"/>
        </w:rPr>
        <w:t xml:space="preserve">　  即明确：在部际联席会议制度下，科技部会同发展改革委、财政部负责组织重大专项实施方案（含总概算和阶段概算）编制论证，开展阶段实施计划（</w:t>
      </w:r>
      <w:proofErr w:type="gramStart"/>
      <w:r w:rsidRPr="002F5A9E">
        <w:rPr>
          <w:rFonts w:ascii="宋体" w:eastAsia="宋体" w:hAnsi="宋体" w:cs="宋体" w:hint="eastAsia"/>
          <w:color w:val="323232"/>
          <w:kern w:val="0"/>
          <w:szCs w:val="21"/>
        </w:rPr>
        <w:t>含分年度</w:t>
      </w:r>
      <w:proofErr w:type="gramEnd"/>
      <w:r w:rsidRPr="002F5A9E">
        <w:rPr>
          <w:rFonts w:ascii="宋体" w:eastAsia="宋体" w:hAnsi="宋体" w:cs="宋体" w:hint="eastAsia"/>
          <w:color w:val="323232"/>
          <w:kern w:val="0"/>
          <w:szCs w:val="21"/>
        </w:rPr>
        <w:t>概算，下同）、年度计划综合平衡工作，统筹协调重大</w:t>
      </w:r>
      <w:proofErr w:type="gramStart"/>
      <w:r w:rsidRPr="002F5A9E">
        <w:rPr>
          <w:rFonts w:ascii="宋体" w:eastAsia="宋体" w:hAnsi="宋体" w:cs="宋体" w:hint="eastAsia"/>
          <w:color w:val="323232"/>
          <w:kern w:val="0"/>
          <w:szCs w:val="21"/>
        </w:rPr>
        <w:t>专项与</w:t>
      </w:r>
      <w:proofErr w:type="gramEnd"/>
      <w:r w:rsidRPr="002F5A9E">
        <w:rPr>
          <w:rFonts w:ascii="宋体" w:eastAsia="宋体" w:hAnsi="宋体" w:cs="宋体" w:hint="eastAsia"/>
          <w:color w:val="323232"/>
          <w:kern w:val="0"/>
          <w:szCs w:val="21"/>
        </w:rPr>
        <w:t>国家其他科技计划（专项、基金等）、国家重大工程的关系；组织重大专项的监测评估、检查监督和总结验收等。</w:t>
      </w:r>
      <w:r w:rsidRPr="002F5A9E">
        <w:rPr>
          <w:rFonts w:ascii="宋体" w:eastAsia="宋体" w:hAnsi="宋体" w:cs="宋体" w:hint="eastAsia"/>
          <w:color w:val="323232"/>
          <w:kern w:val="0"/>
          <w:szCs w:val="21"/>
        </w:rPr>
        <w:br/>
        <w:t xml:space="preserve">　  专业机构接受部际联席会议办公室与牵头组织单位的共同委托，负责重大专项项目（课题）的具体管理工作。负责组织项目（课题）立项、预算评审、提出年度计划建议；负责与项目（课题）牵头承担单位签订项目（课题）任务合同书（含预算书，下同）；按规定程序审核批复预算调剂；负责项目（课题）过程管理、结题验收和决算；定期报告年度资金使用情况；督促项目（课题）预算执行，监督检查项目（课题）资金使用情况；建立健全重大专项项目（课题）资金管理、财务验收、内部监督等制度，以及预算执行人失信警示和联合惩戒机制等。</w:t>
      </w:r>
      <w:r w:rsidRPr="002F5A9E">
        <w:rPr>
          <w:rFonts w:ascii="宋体" w:eastAsia="宋体" w:hAnsi="宋体" w:cs="宋体" w:hint="eastAsia"/>
          <w:color w:val="323232"/>
          <w:kern w:val="0"/>
          <w:szCs w:val="21"/>
        </w:rPr>
        <w:br/>
      </w:r>
      <w:r w:rsidRPr="002F5A9E">
        <w:rPr>
          <w:rFonts w:ascii="宋体" w:eastAsia="宋体" w:hAnsi="宋体" w:cs="宋体" w:hint="eastAsia"/>
          <w:b/>
          <w:bCs/>
          <w:color w:val="323232"/>
          <w:kern w:val="0"/>
          <w:szCs w:val="21"/>
        </w:rPr>
        <w:t xml:space="preserve">　  03 增加了重大专项概算管理这一章节。</w:t>
      </w:r>
      <w:r w:rsidRPr="002F5A9E">
        <w:rPr>
          <w:rFonts w:ascii="宋体" w:eastAsia="宋体" w:hAnsi="宋体" w:cs="宋体" w:hint="eastAsia"/>
          <w:b/>
          <w:bCs/>
          <w:color w:val="323232"/>
          <w:kern w:val="0"/>
          <w:szCs w:val="21"/>
        </w:rPr>
        <w:br/>
      </w:r>
      <w:r w:rsidRPr="002F5A9E">
        <w:rPr>
          <w:rFonts w:ascii="宋体" w:eastAsia="宋体" w:hAnsi="宋体" w:cs="宋体" w:hint="eastAsia"/>
          <w:color w:val="323232"/>
          <w:kern w:val="0"/>
          <w:szCs w:val="21"/>
        </w:rPr>
        <w:lastRenderedPageBreak/>
        <w:t xml:space="preserve">　  明确：重大专项概算是指对专项实施周期内，专项实施所需总费用的事前估算，是重大专项预算安排的重要依据。重大专项概算包括总概算、阶段概算和分年度概算。</w:t>
      </w:r>
      <w:r w:rsidRPr="002F5A9E">
        <w:rPr>
          <w:rFonts w:ascii="宋体" w:eastAsia="宋体" w:hAnsi="宋体" w:cs="宋体" w:hint="eastAsia"/>
          <w:color w:val="323232"/>
          <w:kern w:val="0"/>
          <w:szCs w:val="21"/>
        </w:rPr>
        <w:br/>
      </w:r>
      <w:r w:rsidRPr="002F5A9E">
        <w:rPr>
          <w:rFonts w:ascii="宋体" w:eastAsia="宋体" w:hAnsi="宋体" w:cs="宋体" w:hint="eastAsia"/>
          <w:b/>
          <w:bCs/>
          <w:color w:val="323232"/>
          <w:kern w:val="0"/>
          <w:szCs w:val="21"/>
        </w:rPr>
        <w:t xml:space="preserve">　  04 在资金核定方式及开支范围这一</w:t>
      </w:r>
      <w:proofErr w:type="gramStart"/>
      <w:r w:rsidRPr="002F5A9E">
        <w:rPr>
          <w:rFonts w:ascii="宋体" w:eastAsia="宋体" w:hAnsi="宋体" w:cs="宋体" w:hint="eastAsia"/>
          <w:b/>
          <w:bCs/>
          <w:color w:val="323232"/>
          <w:kern w:val="0"/>
          <w:szCs w:val="21"/>
        </w:rPr>
        <w:t>章体现</w:t>
      </w:r>
      <w:proofErr w:type="gramEnd"/>
      <w:r w:rsidRPr="002F5A9E">
        <w:rPr>
          <w:rFonts w:ascii="宋体" w:eastAsia="宋体" w:hAnsi="宋体" w:cs="宋体" w:hint="eastAsia"/>
          <w:b/>
          <w:bCs/>
          <w:color w:val="323232"/>
          <w:kern w:val="0"/>
          <w:szCs w:val="21"/>
        </w:rPr>
        <w:t>了对中办发50号精神的贯彻落实。</w:t>
      </w:r>
      <w:r w:rsidRPr="002F5A9E">
        <w:rPr>
          <w:rFonts w:ascii="宋体" w:eastAsia="宋体" w:hAnsi="宋体" w:cs="宋体" w:hint="eastAsia"/>
          <w:b/>
          <w:bCs/>
          <w:color w:val="323232"/>
          <w:kern w:val="0"/>
          <w:szCs w:val="21"/>
        </w:rPr>
        <w:br/>
      </w:r>
      <w:r w:rsidRPr="002F5A9E">
        <w:rPr>
          <w:rFonts w:ascii="宋体" w:eastAsia="宋体" w:hAnsi="宋体" w:cs="宋体" w:hint="eastAsia"/>
          <w:color w:val="323232"/>
          <w:kern w:val="0"/>
          <w:szCs w:val="21"/>
        </w:rPr>
        <w:t xml:space="preserve">　  具体为：设备费取消“对于使用重大专项资金购置的单台/套/件价格在200万元以上的仪器设备，应当按照《中央级新购大型科学仪器设备联合评议工作管理办法（试行）》的有关规定执行。”的规定。</w:t>
      </w:r>
      <w:r w:rsidRPr="002F5A9E">
        <w:rPr>
          <w:rFonts w:ascii="宋体" w:eastAsia="宋体" w:hAnsi="宋体" w:cs="宋体" w:hint="eastAsia"/>
          <w:color w:val="323232"/>
          <w:kern w:val="0"/>
          <w:szCs w:val="21"/>
        </w:rPr>
        <w:br/>
        <w:t xml:space="preserve">　  测试化验加工费增加了分析的费用，明确测试化验加工费是指在项目（课题）实施过程中支燃料动力</w:t>
      </w:r>
      <w:proofErr w:type="gramStart"/>
      <w:r w:rsidRPr="002F5A9E">
        <w:rPr>
          <w:rFonts w:ascii="宋体" w:eastAsia="宋体" w:hAnsi="宋体" w:cs="宋体" w:hint="eastAsia"/>
          <w:color w:val="323232"/>
          <w:kern w:val="0"/>
          <w:szCs w:val="21"/>
        </w:rPr>
        <w:t>费不再</w:t>
      </w:r>
      <w:proofErr w:type="gramEnd"/>
      <w:r w:rsidRPr="002F5A9E">
        <w:rPr>
          <w:rFonts w:ascii="宋体" w:eastAsia="宋体" w:hAnsi="宋体" w:cs="宋体" w:hint="eastAsia"/>
          <w:color w:val="323232"/>
          <w:kern w:val="0"/>
          <w:szCs w:val="21"/>
        </w:rPr>
        <w:t>强调单独计量。明确为燃料动力费是指在项目（课题）实施过程中相关大型仪器设备、专用科学装置等运行发生的水、电、气、燃料消耗费用等。</w:t>
      </w:r>
      <w:r w:rsidRPr="002F5A9E">
        <w:rPr>
          <w:rFonts w:ascii="宋体" w:eastAsia="宋体" w:hAnsi="宋体" w:cs="宋体" w:hint="eastAsia"/>
          <w:color w:val="323232"/>
          <w:kern w:val="0"/>
          <w:szCs w:val="21"/>
        </w:rPr>
        <w:br/>
        <w:t xml:space="preserve">　  将差旅费、会议费、国际合作交流费进行了合并。并明确在编制项目（课题）预算时，本科目支出预算不超过直接费用10%的，不需要提供预算测算依据。承担单位和科研人员应当按照实事求是、精简高效、厉行节约的原则，严格执行国家和单位的有关规定，统筹安排使用。</w:t>
      </w:r>
      <w:r w:rsidRPr="002F5A9E">
        <w:rPr>
          <w:rFonts w:ascii="宋体" w:eastAsia="宋体" w:hAnsi="宋体" w:cs="宋体" w:hint="eastAsia"/>
          <w:color w:val="323232"/>
          <w:kern w:val="0"/>
          <w:szCs w:val="21"/>
        </w:rPr>
        <w:br/>
        <w:t xml:space="preserve">　  对劳务费的开支范围进行了重新明确。即在项目（课题）实施过程中支付给参与研究的研究生、博士后、访问学者以及项目（课题）聘用的研究人员、科研辅助人员等的劳务性费用。</w:t>
      </w:r>
      <w:r w:rsidRPr="002F5A9E">
        <w:rPr>
          <w:rFonts w:ascii="宋体" w:eastAsia="宋体" w:hAnsi="宋体" w:cs="宋体" w:hint="eastAsia"/>
          <w:color w:val="323232"/>
          <w:kern w:val="0"/>
          <w:szCs w:val="21"/>
        </w:rPr>
        <w:br/>
        <w:t xml:space="preserve">　  专家咨询费的标准进行了调整规定按按相关规定执行。</w:t>
      </w:r>
      <w:proofErr w:type="gramStart"/>
      <w:r w:rsidRPr="002F5A9E">
        <w:rPr>
          <w:rFonts w:ascii="宋体" w:eastAsia="宋体" w:hAnsi="宋体" w:cs="宋体" w:hint="eastAsia"/>
          <w:color w:val="323232"/>
          <w:kern w:val="0"/>
          <w:szCs w:val="21"/>
        </w:rPr>
        <w:t>动源君注</w:t>
      </w:r>
      <w:proofErr w:type="gramEnd"/>
      <w:r w:rsidRPr="002F5A9E">
        <w:rPr>
          <w:rFonts w:ascii="宋体" w:eastAsia="宋体" w:hAnsi="宋体" w:cs="宋体" w:hint="eastAsia"/>
          <w:color w:val="323232"/>
          <w:kern w:val="0"/>
          <w:szCs w:val="21"/>
        </w:rPr>
        <w:t>：因新的专家咨询费办法尚未出台，先执行原办法。</w:t>
      </w:r>
      <w:r w:rsidRPr="002F5A9E">
        <w:rPr>
          <w:rFonts w:ascii="宋体" w:eastAsia="宋体" w:hAnsi="宋体" w:cs="宋体" w:hint="eastAsia"/>
          <w:color w:val="323232"/>
          <w:kern w:val="0"/>
          <w:szCs w:val="21"/>
        </w:rPr>
        <w:br/>
        <w:t xml:space="preserve">　  取消了间接经费中对绩效支出的比例限制。原规定为“间接费用由财政部根据重大专项、项目（课题）的特点、项目（课题）承担单位性质等因素核定。间接费用一般不超过直接费用扣除设备购置费和基本建设费后的13%，其中用于科研人员激励的相关支出一般不超过直接费用扣除设备购置费和基本建设费后的5%。新规定取消了这个比例限制。</w:t>
      </w:r>
      <w:r w:rsidRPr="002F5A9E">
        <w:rPr>
          <w:rFonts w:ascii="宋体" w:eastAsia="宋体" w:hAnsi="宋体" w:cs="宋体" w:hint="eastAsia"/>
          <w:color w:val="323232"/>
          <w:kern w:val="0"/>
          <w:szCs w:val="21"/>
        </w:rPr>
        <w:br/>
        <w:t xml:space="preserve">　  取消了不可预见费用的规定，增加了对重大专项管理工作经费使用和管理的相关规定。明确了管理工作经费开支范围包括：会议费、差旅费、专家咨询费、劳务费、审计/评审评估/招投标/监理费、出版物/文献/信息传播费、设备购置费及其他费用等。</w:t>
      </w:r>
      <w:r w:rsidRPr="002F5A9E">
        <w:rPr>
          <w:rFonts w:ascii="宋体" w:eastAsia="宋体" w:hAnsi="宋体" w:cs="宋体" w:hint="eastAsia"/>
          <w:color w:val="323232"/>
          <w:kern w:val="0"/>
          <w:szCs w:val="21"/>
        </w:rPr>
        <w:br/>
        <w:t xml:space="preserve">　  </w:t>
      </w:r>
      <w:r w:rsidRPr="002F5A9E">
        <w:rPr>
          <w:rFonts w:ascii="宋体" w:eastAsia="宋体" w:hAnsi="宋体" w:cs="宋体" w:hint="eastAsia"/>
          <w:b/>
          <w:bCs/>
          <w:color w:val="323232"/>
          <w:kern w:val="0"/>
          <w:szCs w:val="21"/>
        </w:rPr>
        <w:t>05 将原来的“前补助项目（课题）预算管理”“后补助项目（课题）经费管理”“监督管理”等章节调整为“预算编制与审批”预算执行等章节。</w:t>
      </w:r>
      <w:r w:rsidRPr="002F5A9E">
        <w:rPr>
          <w:rFonts w:ascii="宋体" w:eastAsia="宋体" w:hAnsi="宋体" w:cs="宋体" w:hint="eastAsia"/>
          <w:b/>
          <w:bCs/>
          <w:color w:val="323232"/>
          <w:kern w:val="0"/>
          <w:szCs w:val="21"/>
        </w:rPr>
        <w:br/>
      </w:r>
      <w:r w:rsidRPr="002F5A9E">
        <w:rPr>
          <w:rFonts w:ascii="宋体" w:eastAsia="宋体" w:hAnsi="宋体" w:cs="宋体" w:hint="eastAsia"/>
          <w:color w:val="323232"/>
          <w:kern w:val="0"/>
          <w:szCs w:val="21"/>
        </w:rPr>
        <w:t xml:space="preserve">　  将原来的“前补助项目（课题）预算管理”“后补助项目（课题）经费管理”“监督管理”等章节调整为“预算编制与审批”预算执行等章节。</w:t>
      </w:r>
      <w:r w:rsidRPr="002F5A9E">
        <w:rPr>
          <w:rFonts w:ascii="宋体" w:eastAsia="宋体" w:hAnsi="宋体" w:cs="宋体" w:hint="eastAsia"/>
          <w:color w:val="323232"/>
          <w:kern w:val="0"/>
          <w:szCs w:val="21"/>
        </w:rPr>
        <w:br/>
        <w:t xml:space="preserve">　  具体调整为将预算的评审改为专业机构委托具有独立法人资格的、具有相应资质的第三方机构进行预算评审。</w:t>
      </w:r>
      <w:r w:rsidRPr="002F5A9E">
        <w:rPr>
          <w:rFonts w:ascii="宋体" w:eastAsia="宋体" w:hAnsi="宋体" w:cs="宋体" w:hint="eastAsia"/>
          <w:color w:val="323232"/>
          <w:kern w:val="0"/>
          <w:szCs w:val="21"/>
        </w:rPr>
        <w:br/>
        <w:t xml:space="preserve">　  规定专业机构的工作职能。一是提出年度计划建议报牵头组织单位，牵头组织单位审核同意后，于每年9月底前将下一年年度计划报三部门综合平衡。财政部根据三部门综合平衡意见核定年度预算，按规定程序下达牵头组织单位，同时抄送科技部、发展改革委。二是专业机构应按照有关规定公示拟立项项目（课题）名单和预算（涉密内容除外），并接受监</w:t>
      </w:r>
      <w:r w:rsidRPr="002F5A9E">
        <w:rPr>
          <w:rFonts w:ascii="宋体" w:eastAsia="宋体" w:hAnsi="宋体" w:cs="宋体" w:hint="eastAsia"/>
          <w:color w:val="323232"/>
          <w:kern w:val="0"/>
          <w:szCs w:val="21"/>
        </w:rPr>
        <w:lastRenderedPageBreak/>
        <w:t>督。三是牵头组织单位根据三部门综合平衡意见和财政部预算批复，向专业机构下达项目（课题）立项批复（含预算）。四是专业机构根据立项批复（含预算）与项目（课题）牵头承担单位签订项目（课题）的任务合同书。</w:t>
      </w:r>
      <w:r w:rsidRPr="002F5A9E">
        <w:rPr>
          <w:rFonts w:ascii="宋体" w:eastAsia="宋体" w:hAnsi="宋体" w:cs="宋体" w:hint="eastAsia"/>
          <w:color w:val="323232"/>
          <w:kern w:val="0"/>
          <w:szCs w:val="21"/>
        </w:rPr>
        <w:br/>
        <w:t> </w:t>
      </w:r>
      <w:r w:rsidRPr="002F5A9E">
        <w:rPr>
          <w:rFonts w:ascii="宋体" w:eastAsia="宋体" w:hAnsi="宋体" w:cs="宋体" w:hint="eastAsia"/>
          <w:b/>
          <w:bCs/>
          <w:color w:val="323232"/>
          <w:kern w:val="0"/>
          <w:szCs w:val="21"/>
        </w:rPr>
        <w:t xml:space="preserve">　 06 明确了重大专项不再通过特设账户拨付。</w:t>
      </w:r>
      <w:r w:rsidRPr="002F5A9E">
        <w:rPr>
          <w:rFonts w:ascii="宋体" w:eastAsia="宋体" w:hAnsi="宋体" w:cs="宋体" w:hint="eastAsia"/>
          <w:b/>
          <w:bCs/>
          <w:color w:val="323232"/>
          <w:kern w:val="0"/>
          <w:szCs w:val="21"/>
        </w:rPr>
        <w:br/>
      </w:r>
      <w:r w:rsidRPr="002F5A9E">
        <w:rPr>
          <w:rFonts w:ascii="宋体" w:eastAsia="宋体" w:hAnsi="宋体" w:cs="宋体" w:hint="eastAsia"/>
          <w:color w:val="323232"/>
          <w:kern w:val="0"/>
          <w:szCs w:val="21"/>
        </w:rPr>
        <w:t xml:space="preserve">　  明确自2018年1月1日起，重大专项资金不再通过特设账户拨付，资金支付按照国库集中支付制度有关规定执行。取消特设账户有关事项另行规定。</w:t>
      </w:r>
      <w:r w:rsidRPr="002F5A9E">
        <w:rPr>
          <w:rFonts w:ascii="宋体" w:eastAsia="宋体" w:hAnsi="宋体" w:cs="宋体" w:hint="eastAsia"/>
          <w:color w:val="323232"/>
          <w:kern w:val="0"/>
          <w:szCs w:val="21"/>
        </w:rPr>
        <w:br/>
      </w:r>
      <w:r w:rsidRPr="002F5A9E">
        <w:rPr>
          <w:rFonts w:ascii="宋体" w:eastAsia="宋体" w:hAnsi="宋体" w:cs="宋体" w:hint="eastAsia"/>
          <w:b/>
          <w:bCs/>
          <w:color w:val="323232"/>
          <w:kern w:val="0"/>
          <w:szCs w:val="21"/>
        </w:rPr>
        <w:t xml:space="preserve">　  07 强调了承担单位应当严格执行国家有关支出管理制度。</w:t>
      </w:r>
      <w:r w:rsidRPr="002F5A9E">
        <w:rPr>
          <w:rFonts w:ascii="宋体" w:eastAsia="宋体" w:hAnsi="宋体" w:cs="宋体" w:hint="eastAsia"/>
          <w:b/>
          <w:bCs/>
          <w:color w:val="323232"/>
          <w:kern w:val="0"/>
          <w:szCs w:val="21"/>
        </w:rPr>
        <w:br/>
      </w:r>
      <w:r w:rsidRPr="002F5A9E">
        <w:rPr>
          <w:rFonts w:ascii="宋体" w:eastAsia="宋体" w:hAnsi="宋体" w:cs="宋体" w:hint="eastAsia"/>
          <w:color w:val="323232"/>
          <w:kern w:val="0"/>
          <w:szCs w:val="21"/>
        </w:rPr>
        <w:t xml:space="preserve">　  对应当实行“公务卡”结算的支出，按照中央财政科研项目使用公务卡结算的有关规定执行。对设备费、大宗材料费和测试化验加工费、劳务费、专家咨询费等支出，原则上应当通过银行转账方式结算。对野外考察、心理测试等科研活动中无法取得发票或者财政性票据的，在确保真实性的前提下，可按实际发生额予以报销。</w:t>
      </w:r>
      <w:r w:rsidRPr="002F5A9E">
        <w:rPr>
          <w:rFonts w:ascii="宋体" w:eastAsia="宋体" w:hAnsi="宋体" w:cs="宋体" w:hint="eastAsia"/>
          <w:color w:val="323232"/>
          <w:kern w:val="0"/>
          <w:szCs w:val="21"/>
        </w:rPr>
        <w:br/>
        <w:t xml:space="preserve">　</w:t>
      </w:r>
      <w:r w:rsidRPr="002F5A9E">
        <w:rPr>
          <w:rFonts w:ascii="宋体" w:eastAsia="宋体" w:hAnsi="宋体" w:cs="宋体" w:hint="eastAsia"/>
          <w:b/>
          <w:bCs/>
          <w:color w:val="323232"/>
          <w:kern w:val="0"/>
          <w:szCs w:val="21"/>
        </w:rPr>
        <w:t>  08 对于项目（课题）结余资金的使用进行了明确。</w:t>
      </w:r>
      <w:r w:rsidRPr="002F5A9E">
        <w:rPr>
          <w:rFonts w:ascii="宋体" w:eastAsia="宋体" w:hAnsi="宋体" w:cs="宋体" w:hint="eastAsia"/>
          <w:b/>
          <w:bCs/>
          <w:color w:val="323232"/>
          <w:kern w:val="0"/>
          <w:szCs w:val="21"/>
        </w:rPr>
        <w:br/>
      </w:r>
      <w:r w:rsidRPr="002F5A9E">
        <w:rPr>
          <w:rFonts w:ascii="宋体" w:eastAsia="宋体" w:hAnsi="宋体" w:cs="宋体" w:hint="eastAsia"/>
          <w:color w:val="323232"/>
          <w:kern w:val="0"/>
          <w:szCs w:val="21"/>
        </w:rPr>
        <w:t xml:space="preserve">　  即规定（不含审计、年度监督评估等监督检查中发现的违规资金），项目（课题）完成任务目标并一次性通过验收，且承担单位信用评价好的，结余资金按规定留归承担单位使用，2年内（自验收结论下达后次年的1月1日起计算）统筹安排用于科研活动的直接支出。2年后结余资金未使用完的，按规定原渠道收回。</w:t>
      </w:r>
      <w:r w:rsidRPr="002F5A9E">
        <w:rPr>
          <w:rFonts w:ascii="宋体" w:eastAsia="宋体" w:hAnsi="宋体" w:cs="宋体" w:hint="eastAsia"/>
          <w:color w:val="323232"/>
          <w:kern w:val="0"/>
          <w:szCs w:val="21"/>
        </w:rPr>
        <w:br/>
      </w:r>
      <w:r w:rsidRPr="002F5A9E">
        <w:rPr>
          <w:rFonts w:ascii="宋体" w:eastAsia="宋体" w:hAnsi="宋体" w:cs="宋体" w:hint="eastAsia"/>
          <w:b/>
          <w:bCs/>
          <w:color w:val="323232"/>
          <w:kern w:val="0"/>
          <w:szCs w:val="21"/>
        </w:rPr>
        <w:t xml:space="preserve">　  09 由原来的“监督管理”改为“监督检查”即按照新的组织管理体系，进一步明确了三部门、牵头组织单位、专业机构和承担单位各自的分工与职责。进一步强化了专业机构和承担单位的工作职责。</w:t>
      </w:r>
      <w:r w:rsidRPr="002F5A9E">
        <w:rPr>
          <w:rFonts w:ascii="宋体" w:eastAsia="宋体" w:hAnsi="宋体" w:cs="宋体" w:hint="eastAsia"/>
          <w:b/>
          <w:bCs/>
          <w:color w:val="323232"/>
          <w:kern w:val="0"/>
          <w:szCs w:val="21"/>
        </w:rPr>
        <w:br/>
      </w:r>
      <w:r w:rsidRPr="002F5A9E">
        <w:rPr>
          <w:rFonts w:ascii="宋体" w:eastAsia="宋体" w:hAnsi="宋体" w:cs="宋体" w:hint="eastAsia"/>
          <w:color w:val="323232"/>
          <w:kern w:val="0"/>
          <w:szCs w:val="21"/>
        </w:rPr>
        <w:t xml:space="preserve">　  专业机构应当建立健全资金监管制度，组织开展重大专项资金的管理和监督，并配合有关部门监督检查，对发现问题的承担单位，采取警示、约谈等方式，督促整改，追踪问责。</w:t>
      </w:r>
      <w:r w:rsidRPr="002F5A9E">
        <w:rPr>
          <w:rFonts w:ascii="宋体" w:eastAsia="宋体" w:hAnsi="宋体" w:cs="宋体" w:hint="eastAsia"/>
          <w:color w:val="323232"/>
          <w:kern w:val="0"/>
          <w:szCs w:val="21"/>
        </w:rPr>
        <w:br/>
        <w:t xml:space="preserve">　  专业机构应当在每年末总结当年的重大专项资金管理和监督情况，并报牵头组织单位备案。</w:t>
      </w:r>
      <w:r w:rsidRPr="002F5A9E">
        <w:rPr>
          <w:rFonts w:ascii="宋体" w:eastAsia="宋体" w:hAnsi="宋体" w:cs="宋体" w:hint="eastAsia"/>
          <w:color w:val="323232"/>
          <w:kern w:val="0"/>
          <w:szCs w:val="21"/>
        </w:rPr>
        <w:br/>
        <w:t xml:space="preserve">　  承担单位应当按照本办法和国家相关财经法规及财务管理制度，完善内部控制和监督制约机制，加强支撑服务条件建设，提高对科研人员的服务水平，建立常态化的自查自纠机制，保证项目（课题）资金安全。</w:t>
      </w:r>
      <w:r w:rsidRPr="002F5A9E">
        <w:rPr>
          <w:rFonts w:ascii="宋体" w:eastAsia="宋体" w:hAnsi="宋体" w:cs="宋体" w:hint="eastAsia"/>
          <w:color w:val="323232"/>
          <w:kern w:val="0"/>
          <w:szCs w:val="21"/>
        </w:rPr>
        <w:br/>
        <w:t xml:space="preserve">　  承担单位应当强化预算约束，规范资金使用行为，严格按照本办法规定的开支范围和标准支出，严禁使用重大专项资金支付各种罚款、捐款、赞助等，严禁以任何方式牟取私利。承担单位应当建立健全各种费用开支的原始资料登记和材料消耗、统计盘点制度，做好预算与财务管理的各项基础性工作。</w:t>
      </w:r>
    </w:p>
    <w:p w:rsidR="003C4723" w:rsidRPr="002F5A9E" w:rsidRDefault="003C4723">
      <w:bookmarkStart w:id="0" w:name="_GoBack"/>
      <w:bookmarkEnd w:id="0"/>
    </w:p>
    <w:sectPr w:rsidR="003C4723" w:rsidRPr="002F5A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A98" w:rsidRDefault="006C0A98" w:rsidP="002F5A9E">
      <w:r>
        <w:separator/>
      </w:r>
    </w:p>
  </w:endnote>
  <w:endnote w:type="continuationSeparator" w:id="0">
    <w:p w:rsidR="006C0A98" w:rsidRDefault="006C0A98" w:rsidP="002F5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A98" w:rsidRDefault="006C0A98" w:rsidP="002F5A9E">
      <w:r>
        <w:separator/>
      </w:r>
    </w:p>
  </w:footnote>
  <w:footnote w:type="continuationSeparator" w:id="0">
    <w:p w:rsidR="006C0A98" w:rsidRDefault="006C0A98" w:rsidP="002F5A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AE9"/>
    <w:rsid w:val="000000F5"/>
    <w:rsid w:val="00004DAB"/>
    <w:rsid w:val="00010220"/>
    <w:rsid w:val="0001069B"/>
    <w:rsid w:val="000156A3"/>
    <w:rsid w:val="00035B41"/>
    <w:rsid w:val="000479EC"/>
    <w:rsid w:val="00052FE2"/>
    <w:rsid w:val="00053093"/>
    <w:rsid w:val="00062741"/>
    <w:rsid w:val="000631AA"/>
    <w:rsid w:val="00066469"/>
    <w:rsid w:val="00070AAF"/>
    <w:rsid w:val="00071AD4"/>
    <w:rsid w:val="000761BF"/>
    <w:rsid w:val="00083D0D"/>
    <w:rsid w:val="00084C1D"/>
    <w:rsid w:val="00085AB0"/>
    <w:rsid w:val="000A1783"/>
    <w:rsid w:val="000A41CF"/>
    <w:rsid w:val="000B669E"/>
    <w:rsid w:val="000D289F"/>
    <w:rsid w:val="000D3EE8"/>
    <w:rsid w:val="000E3C82"/>
    <w:rsid w:val="00103355"/>
    <w:rsid w:val="001048F8"/>
    <w:rsid w:val="001142B8"/>
    <w:rsid w:val="00125658"/>
    <w:rsid w:val="00130216"/>
    <w:rsid w:val="00132DC0"/>
    <w:rsid w:val="0013734B"/>
    <w:rsid w:val="001708CD"/>
    <w:rsid w:val="00173536"/>
    <w:rsid w:val="001B6DD4"/>
    <w:rsid w:val="001C08B9"/>
    <w:rsid w:val="001C56FD"/>
    <w:rsid w:val="001E0AD2"/>
    <w:rsid w:val="001E12D5"/>
    <w:rsid w:val="001E1FD6"/>
    <w:rsid w:val="001F5D7F"/>
    <w:rsid w:val="0021080D"/>
    <w:rsid w:val="00215603"/>
    <w:rsid w:val="002271A7"/>
    <w:rsid w:val="002318EA"/>
    <w:rsid w:val="002364BB"/>
    <w:rsid w:val="00240B0A"/>
    <w:rsid w:val="002436CE"/>
    <w:rsid w:val="0025009E"/>
    <w:rsid w:val="00262BD1"/>
    <w:rsid w:val="0026716A"/>
    <w:rsid w:val="00270256"/>
    <w:rsid w:val="00283204"/>
    <w:rsid w:val="00283CFB"/>
    <w:rsid w:val="00285A62"/>
    <w:rsid w:val="002867B8"/>
    <w:rsid w:val="00293240"/>
    <w:rsid w:val="00297789"/>
    <w:rsid w:val="002A695B"/>
    <w:rsid w:val="002A6CF9"/>
    <w:rsid w:val="002A6E0F"/>
    <w:rsid w:val="002B7105"/>
    <w:rsid w:val="002C0383"/>
    <w:rsid w:val="002D07BE"/>
    <w:rsid w:val="002D1D7F"/>
    <w:rsid w:val="002D3080"/>
    <w:rsid w:val="002D6B9F"/>
    <w:rsid w:val="002D70B9"/>
    <w:rsid w:val="002E11DE"/>
    <w:rsid w:val="002E743D"/>
    <w:rsid w:val="002E7B12"/>
    <w:rsid w:val="002F278E"/>
    <w:rsid w:val="002F47A8"/>
    <w:rsid w:val="002F5A9E"/>
    <w:rsid w:val="0031400E"/>
    <w:rsid w:val="00320D9D"/>
    <w:rsid w:val="00320EBC"/>
    <w:rsid w:val="00321954"/>
    <w:rsid w:val="00323D7D"/>
    <w:rsid w:val="003249C3"/>
    <w:rsid w:val="003312F5"/>
    <w:rsid w:val="00342276"/>
    <w:rsid w:val="0034569F"/>
    <w:rsid w:val="00346E6B"/>
    <w:rsid w:val="0034784C"/>
    <w:rsid w:val="0035382B"/>
    <w:rsid w:val="00357425"/>
    <w:rsid w:val="003663E6"/>
    <w:rsid w:val="00372463"/>
    <w:rsid w:val="003729A7"/>
    <w:rsid w:val="00376B2A"/>
    <w:rsid w:val="003B6A51"/>
    <w:rsid w:val="003C4723"/>
    <w:rsid w:val="003E2770"/>
    <w:rsid w:val="003F041E"/>
    <w:rsid w:val="003F12CC"/>
    <w:rsid w:val="003F3168"/>
    <w:rsid w:val="00400F76"/>
    <w:rsid w:val="0041311A"/>
    <w:rsid w:val="00431B6A"/>
    <w:rsid w:val="004328BE"/>
    <w:rsid w:val="00444AE9"/>
    <w:rsid w:val="0045348D"/>
    <w:rsid w:val="0045501E"/>
    <w:rsid w:val="00455497"/>
    <w:rsid w:val="00472F39"/>
    <w:rsid w:val="004770B2"/>
    <w:rsid w:val="004857BE"/>
    <w:rsid w:val="00485BA2"/>
    <w:rsid w:val="00490E1E"/>
    <w:rsid w:val="00493441"/>
    <w:rsid w:val="004935DA"/>
    <w:rsid w:val="004977BD"/>
    <w:rsid w:val="004A002C"/>
    <w:rsid w:val="004A7521"/>
    <w:rsid w:val="004D1D6D"/>
    <w:rsid w:val="004D5EEF"/>
    <w:rsid w:val="004D6541"/>
    <w:rsid w:val="004E04C4"/>
    <w:rsid w:val="004E1626"/>
    <w:rsid w:val="004E55D8"/>
    <w:rsid w:val="00500FBE"/>
    <w:rsid w:val="00501204"/>
    <w:rsid w:val="005029A3"/>
    <w:rsid w:val="0050435F"/>
    <w:rsid w:val="00505F07"/>
    <w:rsid w:val="005210BF"/>
    <w:rsid w:val="00524759"/>
    <w:rsid w:val="00527FC7"/>
    <w:rsid w:val="005304AD"/>
    <w:rsid w:val="0053501A"/>
    <w:rsid w:val="0053761E"/>
    <w:rsid w:val="00546B7E"/>
    <w:rsid w:val="0055299C"/>
    <w:rsid w:val="00555D8D"/>
    <w:rsid w:val="00561043"/>
    <w:rsid w:val="00567B7D"/>
    <w:rsid w:val="00567D33"/>
    <w:rsid w:val="00574507"/>
    <w:rsid w:val="005761AD"/>
    <w:rsid w:val="00584733"/>
    <w:rsid w:val="00585180"/>
    <w:rsid w:val="00593181"/>
    <w:rsid w:val="005A4783"/>
    <w:rsid w:val="005B51E3"/>
    <w:rsid w:val="005B7E06"/>
    <w:rsid w:val="005C5A5F"/>
    <w:rsid w:val="005C7426"/>
    <w:rsid w:val="005D0A5E"/>
    <w:rsid w:val="005D732C"/>
    <w:rsid w:val="005E0448"/>
    <w:rsid w:val="005E450F"/>
    <w:rsid w:val="00615FD8"/>
    <w:rsid w:val="00616352"/>
    <w:rsid w:val="00616559"/>
    <w:rsid w:val="0061700A"/>
    <w:rsid w:val="00620F5F"/>
    <w:rsid w:val="00625BF1"/>
    <w:rsid w:val="00626301"/>
    <w:rsid w:val="006433D3"/>
    <w:rsid w:val="00651FBD"/>
    <w:rsid w:val="00661033"/>
    <w:rsid w:val="006662C1"/>
    <w:rsid w:val="006810D7"/>
    <w:rsid w:val="00685CB4"/>
    <w:rsid w:val="00691FAD"/>
    <w:rsid w:val="00693CB7"/>
    <w:rsid w:val="006A194B"/>
    <w:rsid w:val="006A4F60"/>
    <w:rsid w:val="006A67F9"/>
    <w:rsid w:val="006B02C1"/>
    <w:rsid w:val="006B588D"/>
    <w:rsid w:val="006C0A98"/>
    <w:rsid w:val="006C3885"/>
    <w:rsid w:val="006C3A25"/>
    <w:rsid w:val="006D64B2"/>
    <w:rsid w:val="006D73E9"/>
    <w:rsid w:val="006E0C05"/>
    <w:rsid w:val="006E0DC0"/>
    <w:rsid w:val="006E1171"/>
    <w:rsid w:val="006F36F2"/>
    <w:rsid w:val="006F39F7"/>
    <w:rsid w:val="007055E1"/>
    <w:rsid w:val="00746BD4"/>
    <w:rsid w:val="0075274D"/>
    <w:rsid w:val="00755A8F"/>
    <w:rsid w:val="00755D25"/>
    <w:rsid w:val="0076146B"/>
    <w:rsid w:val="00763257"/>
    <w:rsid w:val="00771387"/>
    <w:rsid w:val="007751E6"/>
    <w:rsid w:val="007758C5"/>
    <w:rsid w:val="00785164"/>
    <w:rsid w:val="00786E13"/>
    <w:rsid w:val="007962F6"/>
    <w:rsid w:val="007A062B"/>
    <w:rsid w:val="007A14A4"/>
    <w:rsid w:val="007A18B0"/>
    <w:rsid w:val="007B5103"/>
    <w:rsid w:val="007C1BC3"/>
    <w:rsid w:val="007C2D52"/>
    <w:rsid w:val="007C4B5A"/>
    <w:rsid w:val="007D0EDB"/>
    <w:rsid w:val="007D3EBC"/>
    <w:rsid w:val="007F0D7B"/>
    <w:rsid w:val="007F4D5F"/>
    <w:rsid w:val="00800499"/>
    <w:rsid w:val="008157A7"/>
    <w:rsid w:val="008431D0"/>
    <w:rsid w:val="00852F29"/>
    <w:rsid w:val="00853187"/>
    <w:rsid w:val="00853E31"/>
    <w:rsid w:val="0085769E"/>
    <w:rsid w:val="0086219A"/>
    <w:rsid w:val="00865025"/>
    <w:rsid w:val="00865622"/>
    <w:rsid w:val="00867812"/>
    <w:rsid w:val="00874706"/>
    <w:rsid w:val="00880561"/>
    <w:rsid w:val="008827EF"/>
    <w:rsid w:val="008936F3"/>
    <w:rsid w:val="008B1AE8"/>
    <w:rsid w:val="008B2441"/>
    <w:rsid w:val="008B426B"/>
    <w:rsid w:val="008B7759"/>
    <w:rsid w:val="008D0C8A"/>
    <w:rsid w:val="008E15D3"/>
    <w:rsid w:val="008E57FB"/>
    <w:rsid w:val="008E7BED"/>
    <w:rsid w:val="00901847"/>
    <w:rsid w:val="0092104E"/>
    <w:rsid w:val="0092406E"/>
    <w:rsid w:val="00934C8A"/>
    <w:rsid w:val="00937391"/>
    <w:rsid w:val="00952495"/>
    <w:rsid w:val="00955723"/>
    <w:rsid w:val="009718F0"/>
    <w:rsid w:val="00976403"/>
    <w:rsid w:val="00980A9B"/>
    <w:rsid w:val="00980E91"/>
    <w:rsid w:val="00996CA2"/>
    <w:rsid w:val="0099762A"/>
    <w:rsid w:val="009A32D8"/>
    <w:rsid w:val="009A3789"/>
    <w:rsid w:val="009B1802"/>
    <w:rsid w:val="009B2915"/>
    <w:rsid w:val="009F6327"/>
    <w:rsid w:val="00A2047F"/>
    <w:rsid w:val="00A211D9"/>
    <w:rsid w:val="00A27A03"/>
    <w:rsid w:val="00A30416"/>
    <w:rsid w:val="00A36792"/>
    <w:rsid w:val="00A450F7"/>
    <w:rsid w:val="00A528C6"/>
    <w:rsid w:val="00A73569"/>
    <w:rsid w:val="00A74FF9"/>
    <w:rsid w:val="00A87E6F"/>
    <w:rsid w:val="00A92663"/>
    <w:rsid w:val="00A9501F"/>
    <w:rsid w:val="00AA4978"/>
    <w:rsid w:val="00AA7414"/>
    <w:rsid w:val="00AB5FAC"/>
    <w:rsid w:val="00AE0D85"/>
    <w:rsid w:val="00AE7AAC"/>
    <w:rsid w:val="00AF1995"/>
    <w:rsid w:val="00B1408E"/>
    <w:rsid w:val="00B154B2"/>
    <w:rsid w:val="00B2496C"/>
    <w:rsid w:val="00B2563A"/>
    <w:rsid w:val="00B26D28"/>
    <w:rsid w:val="00B3077C"/>
    <w:rsid w:val="00B44961"/>
    <w:rsid w:val="00B55E5F"/>
    <w:rsid w:val="00B56425"/>
    <w:rsid w:val="00B638E7"/>
    <w:rsid w:val="00B674ED"/>
    <w:rsid w:val="00B73BBF"/>
    <w:rsid w:val="00B80C01"/>
    <w:rsid w:val="00B92748"/>
    <w:rsid w:val="00B97982"/>
    <w:rsid w:val="00BA607F"/>
    <w:rsid w:val="00BB35EF"/>
    <w:rsid w:val="00BB5655"/>
    <w:rsid w:val="00BC14EA"/>
    <w:rsid w:val="00BC7117"/>
    <w:rsid w:val="00BC72AC"/>
    <w:rsid w:val="00BE4833"/>
    <w:rsid w:val="00C00FE5"/>
    <w:rsid w:val="00C24502"/>
    <w:rsid w:val="00C24592"/>
    <w:rsid w:val="00C25D54"/>
    <w:rsid w:val="00C33D65"/>
    <w:rsid w:val="00C341AA"/>
    <w:rsid w:val="00C365C9"/>
    <w:rsid w:val="00C478F8"/>
    <w:rsid w:val="00C545CA"/>
    <w:rsid w:val="00C61B52"/>
    <w:rsid w:val="00C63F2B"/>
    <w:rsid w:val="00C92FC7"/>
    <w:rsid w:val="00C933AE"/>
    <w:rsid w:val="00C942AA"/>
    <w:rsid w:val="00CA2C0C"/>
    <w:rsid w:val="00CC29FE"/>
    <w:rsid w:val="00CC4827"/>
    <w:rsid w:val="00CC4DE9"/>
    <w:rsid w:val="00CD1390"/>
    <w:rsid w:val="00CD2A8A"/>
    <w:rsid w:val="00CE0933"/>
    <w:rsid w:val="00CE0F3B"/>
    <w:rsid w:val="00CF02F9"/>
    <w:rsid w:val="00CF6520"/>
    <w:rsid w:val="00D07CD4"/>
    <w:rsid w:val="00D15873"/>
    <w:rsid w:val="00D173CE"/>
    <w:rsid w:val="00D27021"/>
    <w:rsid w:val="00D43780"/>
    <w:rsid w:val="00D477A0"/>
    <w:rsid w:val="00D552FD"/>
    <w:rsid w:val="00D71C52"/>
    <w:rsid w:val="00D817E8"/>
    <w:rsid w:val="00D90846"/>
    <w:rsid w:val="00D95D94"/>
    <w:rsid w:val="00DA1E64"/>
    <w:rsid w:val="00DA6858"/>
    <w:rsid w:val="00DB5F0C"/>
    <w:rsid w:val="00DD7730"/>
    <w:rsid w:val="00DE5D99"/>
    <w:rsid w:val="00DF1C0C"/>
    <w:rsid w:val="00DF658C"/>
    <w:rsid w:val="00E0187D"/>
    <w:rsid w:val="00E057C9"/>
    <w:rsid w:val="00E07DD8"/>
    <w:rsid w:val="00E1026C"/>
    <w:rsid w:val="00E140D5"/>
    <w:rsid w:val="00E16A57"/>
    <w:rsid w:val="00E17044"/>
    <w:rsid w:val="00E27F1A"/>
    <w:rsid w:val="00E315FF"/>
    <w:rsid w:val="00E32535"/>
    <w:rsid w:val="00E416FA"/>
    <w:rsid w:val="00E464DD"/>
    <w:rsid w:val="00E47240"/>
    <w:rsid w:val="00E523CE"/>
    <w:rsid w:val="00E62008"/>
    <w:rsid w:val="00E62C0E"/>
    <w:rsid w:val="00E65543"/>
    <w:rsid w:val="00E72288"/>
    <w:rsid w:val="00E73A2E"/>
    <w:rsid w:val="00E8206A"/>
    <w:rsid w:val="00E82768"/>
    <w:rsid w:val="00E853BC"/>
    <w:rsid w:val="00E86255"/>
    <w:rsid w:val="00E97BDD"/>
    <w:rsid w:val="00EB2746"/>
    <w:rsid w:val="00EB2E5A"/>
    <w:rsid w:val="00EC2AEA"/>
    <w:rsid w:val="00EC66A9"/>
    <w:rsid w:val="00ED6836"/>
    <w:rsid w:val="00ED6A05"/>
    <w:rsid w:val="00EE0B91"/>
    <w:rsid w:val="00EE1429"/>
    <w:rsid w:val="00EF1D3D"/>
    <w:rsid w:val="00EF1E1A"/>
    <w:rsid w:val="00EF7C0C"/>
    <w:rsid w:val="00F05EDA"/>
    <w:rsid w:val="00F0774A"/>
    <w:rsid w:val="00F155DD"/>
    <w:rsid w:val="00F16D26"/>
    <w:rsid w:val="00F21EC4"/>
    <w:rsid w:val="00F22973"/>
    <w:rsid w:val="00F315F2"/>
    <w:rsid w:val="00F41A55"/>
    <w:rsid w:val="00F56B80"/>
    <w:rsid w:val="00F65040"/>
    <w:rsid w:val="00F74C89"/>
    <w:rsid w:val="00F9070E"/>
    <w:rsid w:val="00F91108"/>
    <w:rsid w:val="00F91B23"/>
    <w:rsid w:val="00F92C3B"/>
    <w:rsid w:val="00F93EC6"/>
    <w:rsid w:val="00F97747"/>
    <w:rsid w:val="00FA7117"/>
    <w:rsid w:val="00FB3B3C"/>
    <w:rsid w:val="00FB746D"/>
    <w:rsid w:val="00FC215B"/>
    <w:rsid w:val="00FD09FD"/>
    <w:rsid w:val="00FD5029"/>
    <w:rsid w:val="00FD5741"/>
    <w:rsid w:val="00FE75C7"/>
    <w:rsid w:val="00FF4C7A"/>
    <w:rsid w:val="00FF5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5A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5A9E"/>
    <w:rPr>
      <w:sz w:val="18"/>
      <w:szCs w:val="18"/>
    </w:rPr>
  </w:style>
  <w:style w:type="paragraph" w:styleId="a4">
    <w:name w:val="footer"/>
    <w:basedOn w:val="a"/>
    <w:link w:val="Char0"/>
    <w:uiPriority w:val="99"/>
    <w:unhideWhenUsed/>
    <w:rsid w:val="002F5A9E"/>
    <w:pPr>
      <w:tabs>
        <w:tab w:val="center" w:pos="4153"/>
        <w:tab w:val="right" w:pos="8306"/>
      </w:tabs>
      <w:snapToGrid w:val="0"/>
      <w:jc w:val="left"/>
    </w:pPr>
    <w:rPr>
      <w:sz w:val="18"/>
      <w:szCs w:val="18"/>
    </w:rPr>
  </w:style>
  <w:style w:type="character" w:customStyle="1" w:styleId="Char0">
    <w:name w:val="页脚 Char"/>
    <w:basedOn w:val="a0"/>
    <w:link w:val="a4"/>
    <w:uiPriority w:val="99"/>
    <w:rsid w:val="002F5A9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5A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5A9E"/>
    <w:rPr>
      <w:sz w:val="18"/>
      <w:szCs w:val="18"/>
    </w:rPr>
  </w:style>
  <w:style w:type="paragraph" w:styleId="a4">
    <w:name w:val="footer"/>
    <w:basedOn w:val="a"/>
    <w:link w:val="Char0"/>
    <w:uiPriority w:val="99"/>
    <w:unhideWhenUsed/>
    <w:rsid w:val="002F5A9E"/>
    <w:pPr>
      <w:tabs>
        <w:tab w:val="center" w:pos="4153"/>
        <w:tab w:val="right" w:pos="8306"/>
      </w:tabs>
      <w:snapToGrid w:val="0"/>
      <w:jc w:val="left"/>
    </w:pPr>
    <w:rPr>
      <w:sz w:val="18"/>
      <w:szCs w:val="18"/>
    </w:rPr>
  </w:style>
  <w:style w:type="character" w:customStyle="1" w:styleId="Char0">
    <w:name w:val="页脚 Char"/>
    <w:basedOn w:val="a0"/>
    <w:link w:val="a4"/>
    <w:uiPriority w:val="99"/>
    <w:rsid w:val="002F5A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41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485</Words>
  <Characters>2771</Characters>
  <Application>Microsoft Office Word</Application>
  <DocSecurity>0</DocSecurity>
  <Lines>23</Lines>
  <Paragraphs>6</Paragraphs>
  <ScaleCrop>false</ScaleCrop>
  <Company>Microsoft</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王军</dc:creator>
  <cp:keywords/>
  <dc:description/>
  <cp:lastModifiedBy>王军</cp:lastModifiedBy>
  <cp:revision>2</cp:revision>
  <dcterms:created xsi:type="dcterms:W3CDTF">2018-05-21T07:42:00Z</dcterms:created>
  <dcterms:modified xsi:type="dcterms:W3CDTF">2018-05-21T07:42:00Z</dcterms:modified>
</cp:coreProperties>
</file>