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A32E29" w:rsidRPr="00A32E29">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A32E29" w:rsidRPr="00A32E29">
              <w:trPr>
                <w:trHeight w:val="370"/>
                <w:tblCellSpacing w:w="0" w:type="dxa"/>
              </w:trPr>
              <w:tc>
                <w:tcPr>
                  <w:tcW w:w="0" w:type="auto"/>
                  <w:vAlign w:val="center"/>
                  <w:hideMark/>
                </w:tcPr>
                <w:p w:rsidR="00A32E29" w:rsidRPr="00A32E29" w:rsidRDefault="00A32E29" w:rsidP="00A32E29">
                  <w:pPr>
                    <w:widowControl/>
                    <w:spacing w:before="300" w:after="225" w:line="432" w:lineRule="auto"/>
                    <w:jc w:val="center"/>
                    <w:rPr>
                      <w:rFonts w:ascii="Arial" w:eastAsia="宋体" w:hAnsi="Arial" w:cs="Arial"/>
                      <w:b/>
                      <w:bCs/>
                      <w:color w:val="185895"/>
                      <w:kern w:val="0"/>
                      <w:sz w:val="36"/>
                      <w:szCs w:val="36"/>
                    </w:rPr>
                  </w:pPr>
                  <w:bookmarkStart w:id="0" w:name="_GoBack"/>
                  <w:r w:rsidRPr="00A32E29">
                    <w:rPr>
                      <w:rFonts w:ascii="Arial" w:eastAsia="宋体" w:hAnsi="Arial" w:cs="Arial"/>
                      <w:b/>
                      <w:bCs/>
                      <w:color w:val="185895"/>
                      <w:kern w:val="0"/>
                      <w:sz w:val="36"/>
                      <w:szCs w:val="36"/>
                    </w:rPr>
                    <w:t>落实《若干意见》典型案例之一</w:t>
                  </w:r>
                  <w:r w:rsidRPr="00A32E29">
                    <w:rPr>
                      <w:rFonts w:ascii="Arial" w:eastAsia="宋体" w:hAnsi="Arial" w:cs="Arial"/>
                      <w:b/>
                      <w:bCs/>
                      <w:color w:val="185895"/>
                      <w:kern w:val="0"/>
                      <w:sz w:val="36"/>
                      <w:szCs w:val="36"/>
                    </w:rPr>
                    <w:t xml:space="preserve"> </w:t>
                  </w:r>
                  <w:r w:rsidRPr="00A32E29">
                    <w:rPr>
                      <w:rFonts w:ascii="Arial" w:eastAsia="宋体" w:hAnsi="Arial" w:cs="Arial"/>
                      <w:b/>
                      <w:bCs/>
                      <w:color w:val="185895"/>
                      <w:kern w:val="0"/>
                      <w:sz w:val="36"/>
                      <w:szCs w:val="36"/>
                    </w:rPr>
                    <w:br/>
                  </w:r>
                  <w:r w:rsidRPr="00A32E29">
                    <w:rPr>
                      <w:rFonts w:ascii="Arial" w:eastAsia="宋体" w:hAnsi="Arial" w:cs="Arial"/>
                      <w:b/>
                      <w:bCs/>
                      <w:color w:val="185895"/>
                      <w:kern w:val="0"/>
                      <w:sz w:val="36"/>
                      <w:szCs w:val="36"/>
                    </w:rPr>
                    <w:t>北京大学：发挥三级管理优势，让项目负责人有权有责</w:t>
                  </w:r>
                  <w:r w:rsidRPr="00A32E29">
                    <w:rPr>
                      <w:rFonts w:ascii="Arial" w:eastAsia="宋体" w:hAnsi="Arial" w:cs="Arial"/>
                      <w:b/>
                      <w:bCs/>
                      <w:color w:val="185895"/>
                      <w:kern w:val="0"/>
                      <w:sz w:val="36"/>
                      <w:szCs w:val="36"/>
                    </w:rPr>
                    <w:t xml:space="preserve"> </w:t>
                  </w:r>
                  <w:bookmarkEnd w:id="0"/>
                </w:p>
              </w:tc>
            </w:tr>
          </w:tbl>
          <w:p w:rsidR="00A32E29" w:rsidRPr="00A32E29" w:rsidRDefault="00A32E29" w:rsidP="00A32E29">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A32E29" w:rsidRPr="00A32E29">
              <w:trPr>
                <w:trHeight w:val="10"/>
                <w:tblCellSpacing w:w="0" w:type="dxa"/>
              </w:trPr>
              <w:tc>
                <w:tcPr>
                  <w:tcW w:w="0" w:type="auto"/>
                  <w:vAlign w:val="center"/>
                  <w:hideMark/>
                </w:tcPr>
                <w:p w:rsidR="00A32E29" w:rsidRPr="00A32E29" w:rsidRDefault="00A32E29" w:rsidP="00A32E29">
                  <w:pPr>
                    <w:widowControl/>
                    <w:spacing w:line="10" w:lineRule="atLeast"/>
                    <w:jc w:val="left"/>
                    <w:rPr>
                      <w:rFonts w:ascii="Arial" w:eastAsia="宋体" w:hAnsi="Arial" w:cs="Arial"/>
                      <w:kern w:val="0"/>
                      <w:sz w:val="18"/>
                      <w:szCs w:val="18"/>
                    </w:rPr>
                  </w:pPr>
                  <w:r w:rsidRPr="00A32E29">
                    <w:rPr>
                      <w:rFonts w:ascii="Arial" w:eastAsia="宋体" w:hAnsi="Arial" w:cs="Arial"/>
                      <w:kern w:val="0"/>
                      <w:sz w:val="18"/>
                      <w:szCs w:val="18"/>
                    </w:rPr>
                    <w:pict>
                      <v:rect id="_x0000_i1025" style="width:525pt;height:.75pt" o:hrpct="0" o:hralign="center" o:hrstd="t" o:hrnoshade="t" o:hr="t" fillcolor="#99c2e2" stroked="f"/>
                    </w:pict>
                  </w:r>
                </w:p>
              </w:tc>
            </w:tr>
          </w:tbl>
          <w:p w:rsidR="00A32E29" w:rsidRPr="00A32E29" w:rsidRDefault="00A32E29" w:rsidP="00A32E29">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A32E29" w:rsidRPr="00A32E29">
              <w:trPr>
                <w:tblCellSpacing w:w="0" w:type="dxa"/>
              </w:trPr>
              <w:tc>
                <w:tcPr>
                  <w:tcW w:w="0" w:type="auto"/>
                  <w:vAlign w:val="center"/>
                  <w:hideMark/>
                </w:tcPr>
                <w:p w:rsidR="00A32E29" w:rsidRPr="00A32E29" w:rsidRDefault="00A32E29" w:rsidP="00A32E29">
                  <w:pPr>
                    <w:widowControl/>
                    <w:spacing w:line="432" w:lineRule="auto"/>
                    <w:jc w:val="left"/>
                    <w:rPr>
                      <w:rFonts w:ascii="Arial" w:eastAsia="宋体" w:hAnsi="Arial" w:cs="Arial"/>
                      <w:kern w:val="0"/>
                      <w:sz w:val="24"/>
                      <w:szCs w:val="24"/>
                    </w:rPr>
                  </w:pPr>
                </w:p>
              </w:tc>
            </w:tr>
          </w:tbl>
          <w:p w:rsidR="00A32E29" w:rsidRPr="00A32E29" w:rsidRDefault="00A32E29" w:rsidP="00A32E29">
            <w:pPr>
              <w:widowControl/>
              <w:spacing w:line="432" w:lineRule="auto"/>
              <w:jc w:val="left"/>
              <w:rPr>
                <w:rFonts w:ascii="Arial" w:eastAsia="宋体" w:hAnsi="Arial" w:cs="Arial"/>
                <w:kern w:val="0"/>
                <w:sz w:val="18"/>
                <w:szCs w:val="18"/>
              </w:rPr>
            </w:pPr>
          </w:p>
        </w:tc>
      </w:tr>
      <w:tr w:rsidR="00A32E29" w:rsidRPr="00A32E29">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A32E29" w:rsidRPr="00A32E29">
              <w:trPr>
                <w:trHeight w:val="76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A32E29" w:rsidRPr="00A32E29">
                    <w:trPr>
                      <w:tblCellSpacing w:w="0" w:type="dxa"/>
                      <w:jc w:val="center"/>
                    </w:trPr>
                    <w:tc>
                      <w:tcPr>
                        <w:tcW w:w="0" w:type="auto"/>
                        <w:vAlign w:val="center"/>
                        <w:hideMark/>
                      </w:tcPr>
                      <w:p w:rsidR="00A32E29" w:rsidRPr="00A32E29" w:rsidRDefault="00A32E29" w:rsidP="00A32E29">
                        <w:pPr>
                          <w:widowControl/>
                          <w:spacing w:line="480" w:lineRule="auto"/>
                          <w:jc w:val="left"/>
                          <w:rPr>
                            <w:rFonts w:ascii="宋体" w:eastAsia="宋体" w:hAnsi="宋体" w:cs="Arial"/>
                            <w:kern w:val="0"/>
                            <w:sz w:val="24"/>
                            <w:szCs w:val="24"/>
                          </w:rPr>
                        </w:pPr>
                        <w:r w:rsidRPr="00A32E29">
                          <w:rPr>
                            <w:rFonts w:ascii="宋体" w:eastAsia="宋体" w:hAnsi="宋体" w:cs="Arial" w:hint="eastAsia"/>
                            <w:kern w:val="0"/>
                            <w:sz w:val="24"/>
                            <w:szCs w:val="24"/>
                          </w:rPr>
                          <w:t xml:space="preserve">　　《中共中央办公厅 国务院办公厅印发&lt;关于进一步完善中央财政科研项目资金管理等政策的若干意见&gt;的通知》(以下简称《若干意见》）已实施近半年，近期，财政部、科技部在部署中央高校、科研院所全面开展自查工作的基础上，对教育部、工信部、农业部、卫计委、中科院等部门（单位）所属的49家中央高校、科研院所落实《若干意见》情况进行了现场督查。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总体看，中央高校、科研院所及其主管部门积极推进落实《若干意见》，开展了宣传培训、辅导解读、制度制定、机制建设等工作，科研项目资金管理“放、管、服”改革初见成效。我们将摘编北京大学等单位落实《若干意见》的实践动态，供广大读者参考借鉴。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b/>
                            <w:bCs/>
                            <w:kern w:val="0"/>
                            <w:sz w:val="24"/>
                            <w:szCs w:val="24"/>
                          </w:rPr>
                          <w:t>一、赋予项目组更大权限，绩效支出不设比例</w:t>
                        </w:r>
                        <w:r w:rsidRPr="00A32E29">
                          <w:rPr>
                            <w:rFonts w:ascii="宋体" w:eastAsia="宋体" w:hAnsi="宋体" w:cs="Arial" w:hint="eastAsia"/>
                            <w:kern w:val="0"/>
                            <w:sz w:val="24"/>
                            <w:szCs w:val="24"/>
                          </w:rPr>
                          <w:t xml:space="preserve">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w:t>
                        </w:r>
                        <w:r w:rsidRPr="00A32E29">
                          <w:rPr>
                            <w:rFonts w:ascii="宋体" w:eastAsia="宋体" w:hAnsi="宋体" w:cs="Arial" w:hint="eastAsia"/>
                            <w:b/>
                            <w:bCs/>
                            <w:kern w:val="0"/>
                            <w:sz w:val="24"/>
                            <w:szCs w:val="24"/>
                          </w:rPr>
                          <w:t>（一）调整间接费用分配比例，向基层倾斜</w:t>
                        </w:r>
                        <w:r w:rsidRPr="00A32E29">
                          <w:rPr>
                            <w:rFonts w:ascii="宋体" w:eastAsia="宋体" w:hAnsi="宋体" w:cs="Arial" w:hint="eastAsia"/>
                            <w:kern w:val="0"/>
                            <w:sz w:val="24"/>
                            <w:szCs w:val="24"/>
                          </w:rPr>
                          <w:t xml:space="preserve">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北京大学坚持科研项目和资金学校、院系和项目组三级管理。“十一五”以来，针对中央财政科研项目经费管理要求不断细化的新情况，北京大学将间接费分配向学院和项目组进一步倾斜。新修订的《北京大学理工科民口科研经费管理办法（修订）》中规定，间接费用按预算额度全额计提后，在学校、院系和项目组之间分配，</w:t>
                        </w:r>
                        <w:r w:rsidRPr="00A32E29">
                          <w:rPr>
                            <w:rFonts w:ascii="宋体" w:eastAsia="宋体" w:hAnsi="宋体" w:cs="Arial" w:hint="eastAsia"/>
                            <w:kern w:val="0"/>
                            <w:sz w:val="24"/>
                            <w:szCs w:val="24"/>
                          </w:rPr>
                          <w:lastRenderedPageBreak/>
                          <w:t xml:space="preserve">分配比例原则上学校35%、院系25%、项目组40%。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院系可根据自身情况调整与项目组的间接费用分配方案，用于院系对科研活动的组织管理、支撑支持、监督检查和科研绩效。不得在核定的间接费用以外重复提取其他费用。项目组间接费用在院系管理下由项目负责人根据科研任务实施情况在项目组内部统筹使用。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（二）</w:t>
                        </w:r>
                        <w:r w:rsidRPr="00A32E29">
                          <w:rPr>
                            <w:rFonts w:ascii="宋体" w:eastAsia="宋体" w:hAnsi="宋体" w:cs="Arial" w:hint="eastAsia"/>
                            <w:b/>
                            <w:bCs/>
                            <w:kern w:val="0"/>
                            <w:sz w:val="24"/>
                            <w:szCs w:val="24"/>
                          </w:rPr>
                          <w:t>加大力度，简化程序，激励科研人员</w:t>
                        </w:r>
                        <w:r w:rsidRPr="00A32E29">
                          <w:rPr>
                            <w:rFonts w:ascii="宋体" w:eastAsia="宋体" w:hAnsi="宋体" w:cs="Arial" w:hint="eastAsia"/>
                            <w:kern w:val="0"/>
                            <w:sz w:val="24"/>
                            <w:szCs w:val="24"/>
                          </w:rPr>
                          <w:t xml:space="preserve">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为了引导项目组处理好间接成本补偿和科研人员激励的关系。学校出台了《北京大学科研项目人员绩效发放申请审批细则》，进一步简化了调整程序，强化经费为人的创造性劳动服务。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w:t>
                        </w:r>
                        <w:r w:rsidRPr="00A32E29">
                          <w:rPr>
                            <w:rFonts w:ascii="宋体" w:eastAsia="宋体" w:hAnsi="宋体" w:cs="Arial" w:hint="eastAsia"/>
                            <w:b/>
                            <w:bCs/>
                            <w:kern w:val="0"/>
                            <w:sz w:val="24"/>
                            <w:szCs w:val="24"/>
                          </w:rPr>
                          <w:t>1.</w:t>
                        </w:r>
                        <w:r w:rsidRPr="00A32E29">
                          <w:rPr>
                            <w:rFonts w:ascii="宋体" w:eastAsia="宋体" w:hAnsi="宋体" w:cs="Arial" w:hint="eastAsia"/>
                            <w:kern w:val="0"/>
                            <w:sz w:val="24"/>
                            <w:szCs w:val="24"/>
                          </w:rPr>
                          <w:t xml:space="preserve">取消项目组间接费的绩效支出比例限制，加大对科研人员的激励力度。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w:t>
                        </w:r>
                        <w:r w:rsidRPr="00A32E29">
                          <w:rPr>
                            <w:rFonts w:ascii="宋体" w:eastAsia="宋体" w:hAnsi="宋体" w:cs="Arial" w:hint="eastAsia"/>
                            <w:b/>
                            <w:bCs/>
                            <w:kern w:val="0"/>
                            <w:sz w:val="24"/>
                            <w:szCs w:val="24"/>
                          </w:rPr>
                          <w:t>2.</w:t>
                        </w:r>
                        <w:r w:rsidRPr="00A32E29">
                          <w:rPr>
                            <w:rFonts w:ascii="宋体" w:eastAsia="宋体" w:hAnsi="宋体" w:cs="Arial" w:hint="eastAsia"/>
                            <w:kern w:val="0"/>
                            <w:sz w:val="24"/>
                            <w:szCs w:val="24"/>
                          </w:rPr>
                          <w:t xml:space="preserve">明确项目负责人对项目组绩效使用权。绩效发放与科研人员在项目中的实际贡献挂钩，由项目负责人在项目组间接费用预算额度内，结合项目组成员实际贡献公开、公正安排。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w:t>
                        </w:r>
                        <w:r w:rsidRPr="00A32E29">
                          <w:rPr>
                            <w:rFonts w:ascii="宋体" w:eastAsia="宋体" w:hAnsi="宋体" w:cs="Arial" w:hint="eastAsia"/>
                            <w:b/>
                            <w:bCs/>
                            <w:kern w:val="0"/>
                            <w:sz w:val="24"/>
                            <w:szCs w:val="24"/>
                          </w:rPr>
                          <w:t>3.</w:t>
                        </w:r>
                        <w:r w:rsidRPr="00A32E29">
                          <w:rPr>
                            <w:rFonts w:ascii="宋体" w:eastAsia="宋体" w:hAnsi="宋体" w:cs="Arial" w:hint="eastAsia"/>
                            <w:kern w:val="0"/>
                            <w:sz w:val="24"/>
                            <w:szCs w:val="24"/>
                          </w:rPr>
                          <w:t xml:space="preserve">在“放”的同时,建立健全公开和问责机制。如项目负责人未能按照项目管理规定和任务书的要求履行项目的组织和管理职责，或未公开公正安排绩效支出，学校将冻结该项目组的科研绩效支出，直至项目负责人重新履行项目组织和管理责任。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w:t>
                        </w:r>
                        <w:r w:rsidRPr="00A32E29">
                          <w:rPr>
                            <w:rFonts w:ascii="宋体" w:eastAsia="宋体" w:hAnsi="宋体" w:cs="Arial" w:hint="eastAsia"/>
                            <w:b/>
                            <w:bCs/>
                            <w:kern w:val="0"/>
                            <w:sz w:val="24"/>
                            <w:szCs w:val="24"/>
                          </w:rPr>
                          <w:t>二、建立健全经费支出稽核制度</w:t>
                        </w:r>
                        <w:r w:rsidRPr="00A32E29">
                          <w:rPr>
                            <w:rFonts w:ascii="宋体" w:eastAsia="宋体" w:hAnsi="宋体" w:cs="Arial" w:hint="eastAsia"/>
                            <w:kern w:val="0"/>
                            <w:sz w:val="24"/>
                            <w:szCs w:val="24"/>
                          </w:rPr>
                          <w:t xml:space="preserve">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建立大额资金分级审批制度。5万元以下、5万元-20万元、20-50万元、50万元以上分别由所在学院、业务主管部门、主管校长分级</w:t>
                        </w:r>
                        <w:r w:rsidRPr="00A32E29">
                          <w:rPr>
                            <w:rFonts w:ascii="宋体" w:eastAsia="宋体" w:hAnsi="宋体" w:cs="Arial" w:hint="eastAsia"/>
                            <w:kern w:val="0"/>
                            <w:sz w:val="24"/>
                            <w:szCs w:val="24"/>
                          </w:rPr>
                          <w:lastRenderedPageBreak/>
                          <w:t xml:space="preserve">审批。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此外，在常规审批的基础上，针对近年来审计披露的高风险事项，如拆分合同逃避招标和大额资金审批、假发票、虚假业务、未如实申报关联交易等事项，逐步建立科研经费支出稽核制度，由院系、财务部、科研主管部门组织实施。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各院系根据年度稽核结果建立项目负责人、科研人员和经办人科研经费使用黑名单，予以重点关注。其中，情节严重的，科研人员暂停1年项目申请资格，经办人记入年度考核，劳动合同制职工记入劳动合同聘期考核。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为促进科研经费稽查制度的落实，北京大学公开遴选会计师事务所，对学校科研项目资金管理及使用情况进行审计，并分别针对项目所在院系和学校提交管理建议报告。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w:t>
                        </w:r>
                        <w:r w:rsidRPr="00A32E29">
                          <w:rPr>
                            <w:rFonts w:ascii="宋体" w:eastAsia="宋体" w:hAnsi="宋体" w:cs="Arial" w:hint="eastAsia"/>
                            <w:b/>
                            <w:bCs/>
                            <w:kern w:val="0"/>
                            <w:sz w:val="24"/>
                            <w:szCs w:val="24"/>
                          </w:rPr>
                          <w:t>三、建立科研财务助理制度，让科研人员专心搞科研</w:t>
                        </w:r>
                        <w:r w:rsidRPr="00A32E29">
                          <w:rPr>
                            <w:rFonts w:ascii="宋体" w:eastAsia="宋体" w:hAnsi="宋体" w:cs="Arial" w:hint="eastAsia"/>
                            <w:kern w:val="0"/>
                            <w:sz w:val="24"/>
                            <w:szCs w:val="24"/>
                          </w:rPr>
                          <w:t xml:space="preserve">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学校组织开展了科研财务助理培训，16个院系近300位科研财务助理参加。培训解读了最新科研经费管理的政策和总体要求，并将政策要求分解到具体业务环节，梳理了从项目预算编制到结题验收业务全过程的操作办法和要求，重点介绍了业务难点和审计检查关注事项。培训结束后，课件内容作为培训资料提供给秘书及科研人员查阅使用。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w:t>
                        </w:r>
                        <w:r w:rsidRPr="00A32E29">
                          <w:rPr>
                            <w:rFonts w:ascii="宋体" w:eastAsia="宋体" w:hAnsi="宋体" w:cs="Arial" w:hint="eastAsia"/>
                            <w:b/>
                            <w:bCs/>
                            <w:kern w:val="0"/>
                            <w:sz w:val="24"/>
                            <w:szCs w:val="24"/>
                          </w:rPr>
                          <w:t>（一）笔试、测评综合考核，确保专业能力及服务水平</w:t>
                        </w:r>
                        <w:r w:rsidRPr="00A32E29">
                          <w:rPr>
                            <w:rFonts w:ascii="宋体" w:eastAsia="宋体" w:hAnsi="宋体" w:cs="Arial" w:hint="eastAsia"/>
                            <w:kern w:val="0"/>
                            <w:sz w:val="24"/>
                            <w:szCs w:val="24"/>
                          </w:rPr>
                          <w:t xml:space="preserve">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为确保每一位科研财务助理具有符合要求的专业能力，为科研人员提供高质量的科研服务工作，学校财务部通过设计笔试考卷、</w:t>
                        </w:r>
                        <w:r w:rsidRPr="00A32E29">
                          <w:rPr>
                            <w:rFonts w:ascii="宋体" w:eastAsia="宋体" w:hAnsi="宋体" w:cs="Arial" w:hint="eastAsia"/>
                            <w:kern w:val="0"/>
                            <w:sz w:val="24"/>
                            <w:szCs w:val="24"/>
                          </w:rPr>
                          <w:lastRenderedPageBreak/>
                          <w:t xml:space="preserve">定期综合测评等方式，考核科研财务助理的业务能力，通过考核的人员方能予以聘任或续聘。 </w:t>
                        </w:r>
                      </w:p>
                      <w:p w:rsidR="00A32E29" w:rsidRPr="00A32E29" w:rsidRDefault="00A32E29" w:rsidP="00A32E29">
                        <w:pPr>
                          <w:widowControl/>
                          <w:spacing w:line="480" w:lineRule="auto"/>
                          <w:jc w:val="left"/>
                          <w:rPr>
                            <w:rFonts w:ascii="宋体" w:eastAsia="宋体" w:hAnsi="宋体" w:cs="Arial" w:hint="eastAsia"/>
                            <w:kern w:val="0"/>
                            <w:sz w:val="24"/>
                            <w:szCs w:val="24"/>
                          </w:rPr>
                        </w:pPr>
                        <w:r w:rsidRPr="00A32E29">
                          <w:rPr>
                            <w:rFonts w:ascii="宋体" w:eastAsia="宋体" w:hAnsi="宋体" w:cs="Arial" w:hint="eastAsia"/>
                            <w:kern w:val="0"/>
                            <w:sz w:val="24"/>
                            <w:szCs w:val="24"/>
                          </w:rPr>
                          <w:t xml:space="preserve">　　</w:t>
                        </w:r>
                        <w:r w:rsidRPr="00A32E29">
                          <w:rPr>
                            <w:rFonts w:ascii="宋体" w:eastAsia="宋体" w:hAnsi="宋体" w:cs="Arial" w:hint="eastAsia"/>
                            <w:b/>
                            <w:bCs/>
                            <w:kern w:val="0"/>
                            <w:sz w:val="24"/>
                            <w:szCs w:val="24"/>
                          </w:rPr>
                          <w:t>（二）7x24小时在线咨询，答疑解惑</w:t>
                        </w:r>
                        <w:r w:rsidRPr="00A32E29">
                          <w:rPr>
                            <w:rFonts w:ascii="宋体" w:eastAsia="宋体" w:hAnsi="宋体" w:cs="Arial" w:hint="eastAsia"/>
                            <w:kern w:val="0"/>
                            <w:sz w:val="24"/>
                            <w:szCs w:val="24"/>
                          </w:rPr>
                          <w:t xml:space="preserve"> </w:t>
                        </w:r>
                      </w:p>
                      <w:p w:rsidR="00A32E29" w:rsidRPr="00A32E29" w:rsidRDefault="00A32E29" w:rsidP="00A32E29">
                        <w:pPr>
                          <w:widowControl/>
                          <w:spacing w:line="480" w:lineRule="auto"/>
                          <w:jc w:val="left"/>
                          <w:rPr>
                            <w:rFonts w:ascii="宋体" w:eastAsia="宋体" w:hAnsi="宋体" w:cs="Arial"/>
                            <w:kern w:val="0"/>
                            <w:sz w:val="24"/>
                            <w:szCs w:val="24"/>
                          </w:rPr>
                        </w:pPr>
                        <w:r w:rsidRPr="00A32E29">
                          <w:rPr>
                            <w:rFonts w:ascii="宋体" w:eastAsia="宋体" w:hAnsi="宋体" w:cs="Arial" w:hint="eastAsia"/>
                            <w:kern w:val="0"/>
                            <w:sz w:val="24"/>
                            <w:szCs w:val="24"/>
                          </w:rPr>
                          <w:t xml:space="preserve">　　学校财务部建立全校科研财务助理</w:t>
                        </w:r>
                        <w:proofErr w:type="gramStart"/>
                        <w:r w:rsidRPr="00A32E29">
                          <w:rPr>
                            <w:rFonts w:ascii="宋体" w:eastAsia="宋体" w:hAnsi="宋体" w:cs="Arial" w:hint="eastAsia"/>
                            <w:kern w:val="0"/>
                            <w:sz w:val="24"/>
                            <w:szCs w:val="24"/>
                          </w:rPr>
                          <w:t>微信群</w:t>
                        </w:r>
                        <w:proofErr w:type="gramEnd"/>
                        <w:r w:rsidRPr="00A32E29">
                          <w:rPr>
                            <w:rFonts w:ascii="宋体" w:eastAsia="宋体" w:hAnsi="宋体" w:cs="Arial" w:hint="eastAsia"/>
                            <w:kern w:val="0"/>
                            <w:sz w:val="24"/>
                            <w:szCs w:val="24"/>
                          </w:rPr>
                          <w:t>，宣传最新政策、实时解答有关科研项目实施过程中的各类问题，很多共性问题的答疑解惑也为</w:t>
                        </w:r>
                        <w:proofErr w:type="gramStart"/>
                        <w:r w:rsidRPr="00A32E29">
                          <w:rPr>
                            <w:rFonts w:ascii="宋体" w:eastAsia="宋体" w:hAnsi="宋体" w:cs="Arial" w:hint="eastAsia"/>
                            <w:kern w:val="0"/>
                            <w:sz w:val="24"/>
                            <w:szCs w:val="24"/>
                          </w:rPr>
                          <w:t>微信群</w:t>
                        </w:r>
                        <w:proofErr w:type="gramEnd"/>
                        <w:r w:rsidRPr="00A32E29">
                          <w:rPr>
                            <w:rFonts w:ascii="宋体" w:eastAsia="宋体" w:hAnsi="宋体" w:cs="Arial" w:hint="eastAsia"/>
                            <w:kern w:val="0"/>
                            <w:sz w:val="24"/>
                            <w:szCs w:val="24"/>
                          </w:rPr>
                          <w:t>里的科研财务助理人员提供了丰富的学习和讨论素材，巩固了培训的效果。 （转载于</w:t>
                        </w:r>
                        <w:proofErr w:type="gramStart"/>
                        <w:r w:rsidRPr="00A32E29">
                          <w:rPr>
                            <w:rFonts w:ascii="宋体" w:eastAsia="宋体" w:hAnsi="宋体" w:cs="Arial" w:hint="eastAsia"/>
                            <w:kern w:val="0"/>
                            <w:sz w:val="24"/>
                            <w:szCs w:val="24"/>
                          </w:rPr>
                          <w:t>锐动源</w:t>
                        </w:r>
                        <w:proofErr w:type="gramEnd"/>
                        <w:r w:rsidRPr="00A32E29">
                          <w:rPr>
                            <w:rFonts w:ascii="宋体" w:eastAsia="宋体" w:hAnsi="宋体" w:cs="Arial" w:hint="eastAsia"/>
                            <w:kern w:val="0"/>
                            <w:sz w:val="24"/>
                            <w:szCs w:val="24"/>
                          </w:rPr>
                          <w:t>）</w:t>
                        </w:r>
                      </w:p>
                    </w:tc>
                  </w:tr>
                </w:tbl>
                <w:p w:rsidR="00A32E29" w:rsidRPr="00A32E29" w:rsidRDefault="00A32E29" w:rsidP="00A32E29">
                  <w:pPr>
                    <w:widowControl/>
                    <w:spacing w:line="432" w:lineRule="auto"/>
                    <w:jc w:val="center"/>
                    <w:rPr>
                      <w:rFonts w:ascii="Arial" w:eastAsia="宋体" w:hAnsi="Arial" w:cs="Arial"/>
                      <w:kern w:val="0"/>
                      <w:sz w:val="18"/>
                      <w:szCs w:val="18"/>
                    </w:rPr>
                  </w:pPr>
                </w:p>
              </w:tc>
            </w:tr>
          </w:tbl>
          <w:p w:rsidR="00A32E29" w:rsidRPr="00A32E29" w:rsidRDefault="00A32E29" w:rsidP="00A32E29">
            <w:pPr>
              <w:widowControl/>
              <w:spacing w:line="432" w:lineRule="auto"/>
              <w:jc w:val="left"/>
              <w:rPr>
                <w:rFonts w:ascii="Arial" w:eastAsia="宋体" w:hAnsi="Arial" w:cs="Arial"/>
                <w:kern w:val="0"/>
                <w:sz w:val="18"/>
                <w:szCs w:val="18"/>
              </w:rPr>
            </w:pPr>
          </w:p>
        </w:tc>
      </w:tr>
    </w:tbl>
    <w:p w:rsidR="00CC3543" w:rsidRDefault="00A32E29"/>
    <w:sectPr w:rsidR="00CC35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B69"/>
    <w:rsid w:val="000000F5"/>
    <w:rsid w:val="00004DAB"/>
    <w:rsid w:val="00052FE2"/>
    <w:rsid w:val="00066469"/>
    <w:rsid w:val="000761BF"/>
    <w:rsid w:val="00085AB0"/>
    <w:rsid w:val="000A41CF"/>
    <w:rsid w:val="000D0B69"/>
    <w:rsid w:val="000D289F"/>
    <w:rsid w:val="000E3C82"/>
    <w:rsid w:val="001142B8"/>
    <w:rsid w:val="00125658"/>
    <w:rsid w:val="00130216"/>
    <w:rsid w:val="001708CD"/>
    <w:rsid w:val="00173536"/>
    <w:rsid w:val="001B6DD4"/>
    <w:rsid w:val="001E0AD2"/>
    <w:rsid w:val="001E1FD6"/>
    <w:rsid w:val="0021080D"/>
    <w:rsid w:val="00215603"/>
    <w:rsid w:val="002318EA"/>
    <w:rsid w:val="0025009E"/>
    <w:rsid w:val="00262BD1"/>
    <w:rsid w:val="0026716A"/>
    <w:rsid w:val="00270256"/>
    <w:rsid w:val="00283204"/>
    <w:rsid w:val="002867B8"/>
    <w:rsid w:val="002B7105"/>
    <w:rsid w:val="002D3080"/>
    <w:rsid w:val="002E743D"/>
    <w:rsid w:val="002E7B12"/>
    <w:rsid w:val="002F278E"/>
    <w:rsid w:val="002F47A8"/>
    <w:rsid w:val="00320EBC"/>
    <w:rsid w:val="00321954"/>
    <w:rsid w:val="00323D7D"/>
    <w:rsid w:val="003249C3"/>
    <w:rsid w:val="00342276"/>
    <w:rsid w:val="00346E6B"/>
    <w:rsid w:val="0035382B"/>
    <w:rsid w:val="00372463"/>
    <w:rsid w:val="003E2770"/>
    <w:rsid w:val="003F041E"/>
    <w:rsid w:val="003F12CC"/>
    <w:rsid w:val="00400F76"/>
    <w:rsid w:val="0045348D"/>
    <w:rsid w:val="0045501E"/>
    <w:rsid w:val="00472F39"/>
    <w:rsid w:val="004770B2"/>
    <w:rsid w:val="004857BE"/>
    <w:rsid w:val="00485BA2"/>
    <w:rsid w:val="004A7521"/>
    <w:rsid w:val="004D1D6D"/>
    <w:rsid w:val="004E1626"/>
    <w:rsid w:val="005029A3"/>
    <w:rsid w:val="0050435F"/>
    <w:rsid w:val="00505F07"/>
    <w:rsid w:val="00524759"/>
    <w:rsid w:val="00527FC7"/>
    <w:rsid w:val="00546B7E"/>
    <w:rsid w:val="00561043"/>
    <w:rsid w:val="00567D33"/>
    <w:rsid w:val="00584733"/>
    <w:rsid w:val="00585180"/>
    <w:rsid w:val="005A4783"/>
    <w:rsid w:val="005B51E3"/>
    <w:rsid w:val="005D0A5E"/>
    <w:rsid w:val="00616352"/>
    <w:rsid w:val="00616559"/>
    <w:rsid w:val="00620F5F"/>
    <w:rsid w:val="00625BF1"/>
    <w:rsid w:val="00626301"/>
    <w:rsid w:val="006662C1"/>
    <w:rsid w:val="006810D7"/>
    <w:rsid w:val="00685CB4"/>
    <w:rsid w:val="00693CB7"/>
    <w:rsid w:val="006A4F60"/>
    <w:rsid w:val="006D64B2"/>
    <w:rsid w:val="006E0C05"/>
    <w:rsid w:val="006E0DC0"/>
    <w:rsid w:val="007055E1"/>
    <w:rsid w:val="00746BD4"/>
    <w:rsid w:val="0076146B"/>
    <w:rsid w:val="00771387"/>
    <w:rsid w:val="007751E6"/>
    <w:rsid w:val="00785164"/>
    <w:rsid w:val="007A062B"/>
    <w:rsid w:val="007A18B0"/>
    <w:rsid w:val="007C1BC3"/>
    <w:rsid w:val="007C2D52"/>
    <w:rsid w:val="00800499"/>
    <w:rsid w:val="008157A7"/>
    <w:rsid w:val="008431D0"/>
    <w:rsid w:val="00852F29"/>
    <w:rsid w:val="00853E31"/>
    <w:rsid w:val="0085769E"/>
    <w:rsid w:val="00865622"/>
    <w:rsid w:val="008827EF"/>
    <w:rsid w:val="008B1AE8"/>
    <w:rsid w:val="008B426B"/>
    <w:rsid w:val="008B7759"/>
    <w:rsid w:val="008D0C8A"/>
    <w:rsid w:val="008E57FB"/>
    <w:rsid w:val="008E7BED"/>
    <w:rsid w:val="00937391"/>
    <w:rsid w:val="00952495"/>
    <w:rsid w:val="00980A9B"/>
    <w:rsid w:val="00996CA2"/>
    <w:rsid w:val="009A32D8"/>
    <w:rsid w:val="009A3789"/>
    <w:rsid w:val="009B2915"/>
    <w:rsid w:val="00A211D9"/>
    <w:rsid w:val="00A30416"/>
    <w:rsid w:val="00A32E29"/>
    <w:rsid w:val="00A73569"/>
    <w:rsid w:val="00A9501F"/>
    <w:rsid w:val="00AA4978"/>
    <w:rsid w:val="00AB5FAC"/>
    <w:rsid w:val="00B1408E"/>
    <w:rsid w:val="00B154B2"/>
    <w:rsid w:val="00B2496C"/>
    <w:rsid w:val="00B26D28"/>
    <w:rsid w:val="00B3077C"/>
    <w:rsid w:val="00B55E5F"/>
    <w:rsid w:val="00B674ED"/>
    <w:rsid w:val="00B73BBF"/>
    <w:rsid w:val="00B92748"/>
    <w:rsid w:val="00B97982"/>
    <w:rsid w:val="00BB5655"/>
    <w:rsid w:val="00BC7117"/>
    <w:rsid w:val="00BE4833"/>
    <w:rsid w:val="00C00FE5"/>
    <w:rsid w:val="00C24592"/>
    <w:rsid w:val="00C25D54"/>
    <w:rsid w:val="00C341AA"/>
    <w:rsid w:val="00C478F8"/>
    <w:rsid w:val="00C545CA"/>
    <w:rsid w:val="00C61B52"/>
    <w:rsid w:val="00C63F2B"/>
    <w:rsid w:val="00C92FC7"/>
    <w:rsid w:val="00C933AE"/>
    <w:rsid w:val="00CC4DE9"/>
    <w:rsid w:val="00CD1390"/>
    <w:rsid w:val="00CD2A8A"/>
    <w:rsid w:val="00D07CD4"/>
    <w:rsid w:val="00D173CE"/>
    <w:rsid w:val="00D27021"/>
    <w:rsid w:val="00D43780"/>
    <w:rsid w:val="00D477A0"/>
    <w:rsid w:val="00D552FD"/>
    <w:rsid w:val="00D90846"/>
    <w:rsid w:val="00DA1E64"/>
    <w:rsid w:val="00DD7730"/>
    <w:rsid w:val="00E0187D"/>
    <w:rsid w:val="00E057C9"/>
    <w:rsid w:val="00E1026C"/>
    <w:rsid w:val="00E140D5"/>
    <w:rsid w:val="00E16A57"/>
    <w:rsid w:val="00E17044"/>
    <w:rsid w:val="00E315FF"/>
    <w:rsid w:val="00E32535"/>
    <w:rsid w:val="00E416FA"/>
    <w:rsid w:val="00E65543"/>
    <w:rsid w:val="00E8206A"/>
    <w:rsid w:val="00E82768"/>
    <w:rsid w:val="00E97BDD"/>
    <w:rsid w:val="00EB2746"/>
    <w:rsid w:val="00EB2E5A"/>
    <w:rsid w:val="00EC66A9"/>
    <w:rsid w:val="00ED6836"/>
    <w:rsid w:val="00ED6A05"/>
    <w:rsid w:val="00EE1429"/>
    <w:rsid w:val="00EF1E1A"/>
    <w:rsid w:val="00EF7C0C"/>
    <w:rsid w:val="00F05EDA"/>
    <w:rsid w:val="00F0774A"/>
    <w:rsid w:val="00F21EC4"/>
    <w:rsid w:val="00F22973"/>
    <w:rsid w:val="00F315F2"/>
    <w:rsid w:val="00F91108"/>
    <w:rsid w:val="00F91B23"/>
    <w:rsid w:val="00F92C3B"/>
    <w:rsid w:val="00FA7117"/>
    <w:rsid w:val="00FD5029"/>
    <w:rsid w:val="00FE75C7"/>
    <w:rsid w:val="00FF4C7A"/>
    <w:rsid w:val="00F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76468">
      <w:bodyDiv w:val="1"/>
      <w:marLeft w:val="0"/>
      <w:marRight w:val="0"/>
      <w:marTop w:val="0"/>
      <w:marBottom w:val="0"/>
      <w:divBdr>
        <w:top w:val="none" w:sz="0" w:space="0" w:color="auto"/>
        <w:left w:val="none" w:sz="0" w:space="0" w:color="auto"/>
        <w:bottom w:val="none" w:sz="0" w:space="0" w:color="auto"/>
        <w:right w:val="none" w:sz="0" w:space="0" w:color="auto"/>
      </w:divBdr>
      <w:divsChild>
        <w:div w:id="1158155266">
          <w:marLeft w:val="0"/>
          <w:marRight w:val="0"/>
          <w:marTop w:val="0"/>
          <w:marBottom w:val="0"/>
          <w:divBdr>
            <w:top w:val="none" w:sz="0" w:space="0" w:color="auto"/>
            <w:left w:val="none" w:sz="0" w:space="0" w:color="auto"/>
            <w:bottom w:val="none" w:sz="0" w:space="0" w:color="auto"/>
            <w:right w:val="none" w:sz="0" w:space="0" w:color="auto"/>
          </w:divBdr>
          <w:divsChild>
            <w:div w:id="712802298">
              <w:marLeft w:val="0"/>
              <w:marRight w:val="0"/>
              <w:marTop w:val="75"/>
              <w:marBottom w:val="75"/>
              <w:divBdr>
                <w:top w:val="none" w:sz="0" w:space="0" w:color="auto"/>
                <w:left w:val="none" w:sz="0" w:space="0" w:color="auto"/>
                <w:bottom w:val="none" w:sz="0" w:space="0" w:color="auto"/>
                <w:right w:val="none" w:sz="0" w:space="0" w:color="auto"/>
              </w:divBdr>
              <w:divsChild>
                <w:div w:id="2701708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1566</Characters>
  <Application>Microsoft Office Word</Application>
  <DocSecurity>0</DocSecurity>
  <Lines>13</Lines>
  <Paragraphs>3</Paragraphs>
  <ScaleCrop>false</ScaleCrop>
  <Company>Microsoft</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dc:creator>
  <cp:keywords/>
  <dc:description/>
  <cp:lastModifiedBy>王军</cp:lastModifiedBy>
  <cp:revision>3</cp:revision>
  <dcterms:created xsi:type="dcterms:W3CDTF">2017-04-13T03:17:00Z</dcterms:created>
  <dcterms:modified xsi:type="dcterms:W3CDTF">2017-04-13T03:17:00Z</dcterms:modified>
</cp:coreProperties>
</file>